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86A" w:rsidRDefault="007C086A" w:rsidP="00F527E6">
      <w:pPr>
        <w:spacing w:line="400" w:lineRule="exact"/>
        <w:jc w:val="center"/>
        <w:rPr>
          <w:rFonts w:ascii="方正小标宋简体" w:eastAsia="方正小标宋简体" w:hAnsi="宋体" w:cs="Times New Roman"/>
          <w:sz w:val="36"/>
          <w:szCs w:val="36"/>
        </w:rPr>
      </w:pPr>
    </w:p>
    <w:p w:rsidR="00F527E6" w:rsidRPr="00F527E6" w:rsidRDefault="00F527E6" w:rsidP="00F527E6">
      <w:pPr>
        <w:spacing w:line="400" w:lineRule="exact"/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 w:rsidRPr="00F527E6">
        <w:rPr>
          <w:rFonts w:ascii="方正小标宋简体" w:eastAsia="方正小标宋简体" w:hAnsi="宋体" w:cs="Times New Roman" w:hint="eastAsia"/>
          <w:sz w:val="36"/>
          <w:szCs w:val="36"/>
        </w:rPr>
        <w:t>原发性血小板增多症中医诊疗方案</w:t>
      </w:r>
    </w:p>
    <w:p w:rsidR="00F527E6" w:rsidRPr="00F527E6" w:rsidRDefault="00F527E6" w:rsidP="007C086A">
      <w:pPr>
        <w:spacing w:before="156" w:line="400" w:lineRule="exact"/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 w:rsidRPr="00F527E6">
        <w:rPr>
          <w:rFonts w:ascii="方正小标宋简体" w:eastAsia="方正小标宋简体" w:hAnsi="宋体" w:cs="Times New Roman" w:hint="eastAsia"/>
          <w:sz w:val="36"/>
          <w:szCs w:val="36"/>
        </w:rPr>
        <w:t>（</w:t>
      </w:r>
      <w:r w:rsidRPr="00F527E6">
        <w:rPr>
          <w:rFonts w:ascii="方正小标宋简体" w:eastAsia="方正小标宋简体" w:hAnsi="宋体" w:cs="Times New Roman"/>
          <w:sz w:val="36"/>
          <w:szCs w:val="36"/>
        </w:rPr>
        <w:t>201</w:t>
      </w:r>
      <w:r w:rsidR="0080068E">
        <w:rPr>
          <w:rFonts w:ascii="方正小标宋简体" w:eastAsia="方正小标宋简体" w:hAnsi="宋体" w:cs="Times New Roman" w:hint="eastAsia"/>
          <w:sz w:val="36"/>
          <w:szCs w:val="36"/>
        </w:rPr>
        <w:t>8</w:t>
      </w:r>
      <w:r w:rsidRPr="00F527E6">
        <w:rPr>
          <w:rFonts w:ascii="方正小标宋简体" w:eastAsia="方正小标宋简体" w:hAnsi="宋体" w:cs="Times New Roman"/>
          <w:sz w:val="36"/>
          <w:szCs w:val="36"/>
        </w:rPr>
        <w:t>年版）</w:t>
      </w:r>
    </w:p>
    <w:p w:rsidR="00F527E6" w:rsidRPr="00603D0E" w:rsidRDefault="00F527E6" w:rsidP="00603D0E">
      <w:pPr>
        <w:widowControl/>
        <w:spacing w:line="400" w:lineRule="exact"/>
        <w:ind w:firstLineChars="200" w:firstLine="480"/>
        <w:rPr>
          <w:rFonts w:ascii="黑体" w:eastAsia="黑体" w:hAnsi="宋体" w:cstheme="minorBidi"/>
          <w:szCs w:val="22"/>
        </w:rPr>
      </w:pPr>
      <w:r w:rsidRPr="00603D0E">
        <w:rPr>
          <w:rFonts w:ascii="黑体" w:eastAsia="黑体" w:hAnsi="宋体" w:cstheme="minorBidi" w:hint="eastAsia"/>
          <w:szCs w:val="22"/>
        </w:rPr>
        <w:t>一、诊断</w:t>
      </w:r>
    </w:p>
    <w:p w:rsidR="00F527E6" w:rsidRPr="00603D0E" w:rsidRDefault="0080068E" w:rsidP="00603D0E">
      <w:pPr>
        <w:widowControl/>
        <w:spacing w:line="400" w:lineRule="exact"/>
        <w:ind w:firstLineChars="200" w:firstLine="480"/>
        <w:rPr>
          <w:rFonts w:asciiTheme="minorEastAsia" w:eastAsiaTheme="minorEastAsia" w:hAnsiTheme="minorEastAsia" w:cstheme="minorBidi"/>
          <w:szCs w:val="22"/>
        </w:rPr>
      </w:pPr>
      <w:r w:rsidRPr="00603D0E">
        <w:rPr>
          <w:rFonts w:asciiTheme="minorEastAsia" w:eastAsiaTheme="minorEastAsia" w:hAnsiTheme="minorEastAsia" w:cstheme="minorBidi" w:hint="eastAsia"/>
          <w:szCs w:val="22"/>
        </w:rPr>
        <w:t>（一）疾病诊断</w:t>
      </w:r>
    </w:p>
    <w:p w:rsidR="00F527E6" w:rsidRDefault="0080068E" w:rsidP="007C086A">
      <w:pPr>
        <w:adjustRightInd w:val="0"/>
        <w:snapToGrid w:val="0"/>
        <w:spacing w:before="78" w:after="78" w:line="400" w:lineRule="exact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西医诊断标准</w:t>
      </w:r>
    </w:p>
    <w:p w:rsidR="00F527E6" w:rsidRDefault="0080068E" w:rsidP="00F527E6">
      <w:pPr>
        <w:pStyle w:val="ad"/>
        <w:adjustRightInd w:val="0"/>
        <w:snapToGrid w:val="0"/>
        <w:spacing w:line="400" w:lineRule="exact"/>
        <w:ind w:firstLine="480"/>
      </w:pPr>
      <w:r>
        <w:rPr>
          <w:rFonts w:hint="eastAsia"/>
        </w:rPr>
        <w:t>参考世界卫生组织（</w:t>
      </w:r>
      <w:r>
        <w:rPr>
          <w:rFonts w:hint="eastAsia"/>
        </w:rPr>
        <w:t>W</w:t>
      </w:r>
      <w:r>
        <w:t>HO</w:t>
      </w:r>
      <w:r>
        <w:rPr>
          <w:rFonts w:hint="eastAsia"/>
        </w:rPr>
        <w:t>）</w:t>
      </w:r>
      <w:r>
        <w:t>2016</w:t>
      </w:r>
      <w:r>
        <w:rPr>
          <w:rFonts w:hint="eastAsia"/>
        </w:rPr>
        <w:t>年</w:t>
      </w:r>
      <w:r>
        <w:rPr>
          <w:rFonts w:ascii="Arial" w:hAnsi="Arial" w:cs="Arial"/>
          <w:bCs/>
          <w:color w:val="000000"/>
          <w:kern w:val="36"/>
        </w:rPr>
        <w:t>原发性血小板增多症诊断</w:t>
      </w:r>
      <w:r>
        <w:rPr>
          <w:rFonts w:ascii="Arial" w:hAnsi="Arial" w:cs="Arial" w:hint="eastAsia"/>
          <w:bCs/>
          <w:color w:val="000000"/>
          <w:kern w:val="36"/>
        </w:rPr>
        <w:t>标准</w:t>
      </w:r>
      <w:r>
        <w:rPr>
          <w:rFonts w:hint="eastAsia"/>
          <w:vertAlign w:val="superscript"/>
        </w:rPr>
        <w:t>[1</w:t>
      </w:r>
      <w:r>
        <w:rPr>
          <w:vertAlign w:val="superscript"/>
        </w:rPr>
        <w:t>]</w:t>
      </w:r>
      <w:r>
        <w:rPr>
          <w:rFonts w:hint="eastAsia"/>
        </w:rPr>
        <w:t>。</w:t>
      </w:r>
    </w:p>
    <w:p w:rsidR="00F527E6" w:rsidRDefault="0080068E" w:rsidP="00F527E6">
      <w:pPr>
        <w:pStyle w:val="ad"/>
        <w:adjustRightInd w:val="0"/>
        <w:snapToGrid w:val="0"/>
        <w:spacing w:line="400" w:lineRule="exact"/>
        <w:ind w:firstLine="480"/>
      </w:pPr>
      <w:r>
        <w:rPr>
          <w:rFonts w:ascii="宋体" w:hAnsi="宋体" w:hint="eastAsia"/>
        </w:rPr>
        <w:t>符合4条主要标准或前3条主要标准加次要标准即可诊断</w:t>
      </w:r>
      <w:r>
        <w:rPr>
          <w:rFonts w:ascii="Arial" w:hAnsi="Arial" w:cs="Arial"/>
          <w:bCs/>
          <w:color w:val="000000"/>
          <w:kern w:val="36"/>
        </w:rPr>
        <w:t>原发性血小板增多症</w:t>
      </w:r>
      <w:r>
        <w:rPr>
          <w:rFonts w:ascii="宋体" w:hAnsi="宋体" w:hint="eastAsia"/>
        </w:rPr>
        <w:t>。</w:t>
      </w:r>
      <w:r>
        <w:rPr>
          <w:rFonts w:hint="eastAsia"/>
        </w:rPr>
        <w:t>主要标准：</w:t>
      </w:r>
    </w:p>
    <w:p w:rsidR="00F527E6" w:rsidRDefault="0080068E" w:rsidP="00F527E6">
      <w:pPr>
        <w:pStyle w:val="ad"/>
        <w:adjustRightInd w:val="0"/>
        <w:snapToGrid w:val="0"/>
        <w:spacing w:line="400" w:lineRule="exact"/>
        <w:ind w:firstLine="480"/>
        <w:rPr>
          <w:rFonts w:ascii="宋体" w:hAnsi="宋体"/>
        </w:rPr>
      </w:pPr>
      <w:r>
        <w:rPr>
          <w:rFonts w:hint="eastAsia"/>
        </w:rPr>
        <w:t>1.</w:t>
      </w:r>
      <w:r>
        <w:rPr>
          <w:rFonts w:hint="eastAsia"/>
        </w:rPr>
        <w:t>血小板计数</w:t>
      </w:r>
      <w:r>
        <w:rPr>
          <w:rFonts w:ascii="宋体" w:hAnsi="宋体" w:hint="eastAsia"/>
        </w:rPr>
        <w:t>≥450×10</w:t>
      </w:r>
      <w:r>
        <w:rPr>
          <w:rFonts w:ascii="宋体" w:hAnsi="宋体" w:hint="eastAsia"/>
          <w:vertAlign w:val="superscript"/>
        </w:rPr>
        <w:t>9</w:t>
      </w:r>
      <w:r>
        <w:rPr>
          <w:rFonts w:ascii="宋体" w:hAnsi="宋体" w:hint="eastAsia"/>
        </w:rPr>
        <w:t>/L；</w:t>
      </w:r>
    </w:p>
    <w:p w:rsidR="00F527E6" w:rsidRDefault="0080068E" w:rsidP="00F527E6">
      <w:pPr>
        <w:pStyle w:val="ad"/>
        <w:adjustRightInd w:val="0"/>
        <w:snapToGrid w:val="0"/>
        <w:spacing w:line="400" w:lineRule="exact"/>
        <w:ind w:firstLine="480"/>
        <w:rPr>
          <w:rFonts w:ascii="宋体" w:hAnsi="宋体"/>
        </w:rPr>
      </w:pPr>
      <w:r>
        <w:rPr>
          <w:rFonts w:ascii="宋体" w:hAnsi="宋体" w:hint="eastAsia"/>
        </w:rPr>
        <w:t>2.骨髓活检示巨核细胞高度增生，胞体大、核过分叶的成熟巨核细胞数量增多，不伴粒系、红系显著增生或左移，且网状纤维极少增多（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级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 xml:space="preserve">； </w:t>
      </w:r>
    </w:p>
    <w:p w:rsidR="00F527E6" w:rsidRDefault="0080068E" w:rsidP="00F527E6">
      <w:pPr>
        <w:pStyle w:val="ad"/>
        <w:adjustRightInd w:val="0"/>
        <w:snapToGrid w:val="0"/>
        <w:spacing w:line="400" w:lineRule="exact"/>
        <w:ind w:firstLine="480"/>
        <w:rPr>
          <w:rFonts w:ascii="宋体" w:hAnsi="宋体"/>
        </w:rPr>
      </w:pPr>
      <w:r>
        <w:rPr>
          <w:rFonts w:ascii="宋体" w:hAnsi="宋体" w:hint="eastAsia"/>
        </w:rPr>
        <w:t>3.不符合B</w:t>
      </w:r>
      <w:r>
        <w:rPr>
          <w:rFonts w:ascii="宋体" w:hAnsi="宋体"/>
        </w:rPr>
        <w:t>CR-ABL</w:t>
      </w:r>
      <w:r>
        <w:rPr>
          <w:rFonts w:ascii="宋体" w:hAnsi="宋体" w:hint="eastAsia"/>
        </w:rPr>
        <w:t>+慢性髓系白血病、真性红细胞增多症、原发性骨髓纤维化、骨髓增生异常综合征或其他髓系肿瘤的W</w:t>
      </w:r>
      <w:r>
        <w:rPr>
          <w:rFonts w:ascii="宋体" w:hAnsi="宋体"/>
        </w:rPr>
        <w:t>HO</w:t>
      </w:r>
      <w:r>
        <w:rPr>
          <w:rFonts w:ascii="宋体" w:hAnsi="宋体" w:hint="eastAsia"/>
        </w:rPr>
        <w:t>诊断标准；</w:t>
      </w:r>
    </w:p>
    <w:p w:rsidR="00F527E6" w:rsidRDefault="0080068E" w:rsidP="00F527E6">
      <w:pPr>
        <w:pStyle w:val="ad"/>
        <w:adjustRightInd w:val="0"/>
        <w:snapToGrid w:val="0"/>
        <w:spacing w:line="400" w:lineRule="exact"/>
        <w:ind w:firstLine="480"/>
        <w:rPr>
          <w:rFonts w:ascii="宋体" w:hAnsi="宋体"/>
        </w:rPr>
      </w:pPr>
      <w:r>
        <w:rPr>
          <w:rFonts w:ascii="宋体" w:hAnsi="宋体" w:hint="eastAsia"/>
        </w:rPr>
        <w:t>4.有JAK2、CALR或MPL基因突变。</w:t>
      </w:r>
    </w:p>
    <w:p w:rsidR="00F527E6" w:rsidRDefault="0080068E" w:rsidP="00F527E6">
      <w:pPr>
        <w:pStyle w:val="ad"/>
        <w:adjustRightInd w:val="0"/>
        <w:snapToGrid w:val="0"/>
        <w:spacing w:line="400" w:lineRule="exact"/>
        <w:ind w:firstLine="480"/>
        <w:rPr>
          <w:b/>
        </w:rPr>
      </w:pPr>
      <w:r>
        <w:rPr>
          <w:rFonts w:ascii="宋体" w:hAnsi="宋体" w:hint="eastAsia"/>
        </w:rPr>
        <w:t>次要标准：有克隆性标志或无反应性血小板增多的证据。</w:t>
      </w:r>
    </w:p>
    <w:p w:rsidR="00F527E6" w:rsidRDefault="0080068E" w:rsidP="007C086A">
      <w:pPr>
        <w:adjustRightInd w:val="0"/>
        <w:snapToGrid w:val="0"/>
        <w:spacing w:before="78" w:after="78" w:line="400" w:lineRule="exact"/>
        <w:ind w:firstLineChars="200" w:firstLine="4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（二）证候诊断</w:t>
      </w:r>
    </w:p>
    <w:p w:rsidR="00F527E6" w:rsidRDefault="0080068E" w:rsidP="00F527E6">
      <w:pPr>
        <w:adjustRightInd w:val="0"/>
        <w:snapToGrid w:val="0"/>
        <w:spacing w:line="400" w:lineRule="exact"/>
        <w:ind w:firstLineChars="200" w:firstLine="480"/>
      </w:pPr>
      <w:r>
        <w:rPr>
          <w:rFonts w:hint="eastAsia"/>
        </w:rPr>
        <w:t>参考《血液科专病中医临床诊治》（葛志红主编，人民卫生出版社</w:t>
      </w:r>
      <w:r>
        <w:rPr>
          <w:rFonts w:hint="eastAsia"/>
        </w:rPr>
        <w:t>2</w:t>
      </w:r>
      <w:r>
        <w:t>013</w:t>
      </w:r>
      <w:r>
        <w:rPr>
          <w:rFonts w:hint="eastAsia"/>
        </w:rPr>
        <w:t>年出版）</w:t>
      </w:r>
      <w:r>
        <w:rPr>
          <w:rFonts w:hint="eastAsia"/>
          <w:vertAlign w:val="superscript"/>
        </w:rPr>
        <w:t>[</w:t>
      </w:r>
      <w:r>
        <w:rPr>
          <w:vertAlign w:val="superscript"/>
        </w:rPr>
        <w:t>2]</w:t>
      </w:r>
      <w:r>
        <w:rPr>
          <w:rFonts w:hint="eastAsia"/>
        </w:rPr>
        <w:t>。</w:t>
      </w:r>
    </w:p>
    <w:p w:rsidR="00F527E6" w:rsidRDefault="0080068E" w:rsidP="007C086A">
      <w:pPr>
        <w:adjustRightInd w:val="0"/>
        <w:snapToGrid w:val="0"/>
        <w:spacing w:line="400" w:lineRule="exact"/>
        <w:ind w:firstLineChars="177" w:firstLine="425"/>
      </w:pPr>
      <w:r>
        <w:rPr>
          <w:rFonts w:ascii="宋体" w:hAnsi="宋体" w:hint="eastAsia"/>
        </w:rPr>
        <w:t>1.肝郁脾虚</w:t>
      </w:r>
      <w:r>
        <w:rPr>
          <w:rFonts w:hint="eastAsia"/>
        </w:rPr>
        <w:t>夹瘀证</w:t>
      </w:r>
    </w:p>
    <w:p w:rsidR="00F527E6" w:rsidRDefault="0080068E" w:rsidP="00F527E6">
      <w:pPr>
        <w:adjustRightInd w:val="0"/>
        <w:snapToGrid w:val="0"/>
        <w:spacing w:line="400" w:lineRule="exact"/>
        <w:ind w:firstLineChars="200" w:firstLine="480"/>
      </w:pPr>
      <w:r>
        <w:rPr>
          <w:rFonts w:hint="eastAsia"/>
        </w:rPr>
        <w:t>起病隐匿，</w:t>
      </w:r>
      <w:r>
        <w:rPr>
          <w:rFonts w:hint="eastAsia"/>
          <w:color w:val="000000"/>
        </w:rPr>
        <w:t>轻</w:t>
      </w:r>
      <w:r>
        <w:rPr>
          <w:rFonts w:hint="eastAsia"/>
        </w:rPr>
        <w:t>者可见易疲劳、乏力、四肢困倦，头痛眩晕，视朦，肢体麻木，痹痛，或烧灼感，胁下胀闷不适，舌质淡红，苔白，脉弦细涩，或沉弦滑。</w:t>
      </w:r>
    </w:p>
    <w:p w:rsidR="00F527E6" w:rsidRDefault="0080068E" w:rsidP="00F527E6">
      <w:pPr>
        <w:adjustRightInd w:val="0"/>
        <w:snapToGrid w:val="0"/>
        <w:spacing w:line="400" w:lineRule="exact"/>
        <w:ind w:firstLineChars="200" w:firstLine="480"/>
      </w:pPr>
      <w:r>
        <w:rPr>
          <w:rFonts w:ascii="宋体" w:hAnsi="宋体"/>
        </w:rPr>
        <w:t>2.</w:t>
      </w:r>
      <w:r>
        <w:rPr>
          <w:rFonts w:hint="eastAsia"/>
        </w:rPr>
        <w:t>肝郁血热夹瘀证</w:t>
      </w:r>
    </w:p>
    <w:p w:rsidR="00F527E6" w:rsidRDefault="0080068E" w:rsidP="00F527E6">
      <w:pPr>
        <w:adjustRightInd w:val="0"/>
        <w:snapToGrid w:val="0"/>
        <w:spacing w:line="400" w:lineRule="exact"/>
        <w:ind w:firstLineChars="200" w:firstLine="480"/>
      </w:pPr>
      <w:r>
        <w:rPr>
          <w:rFonts w:hint="eastAsia"/>
        </w:rPr>
        <w:t>眩晕头痛，面红目赤，胸胁胀满或胁痛，急躁易怒，口干苦，鼻</w:t>
      </w:r>
      <w:r>
        <w:rPr>
          <w:rFonts w:hint="eastAsia"/>
          <w:color w:val="000000"/>
        </w:rPr>
        <w:t>衄</w:t>
      </w:r>
      <w:r>
        <w:rPr>
          <w:rFonts w:hint="eastAsia"/>
        </w:rPr>
        <w:t>，齿</w:t>
      </w:r>
      <w:r>
        <w:rPr>
          <w:rFonts w:hint="eastAsia"/>
          <w:color w:val="000000"/>
        </w:rPr>
        <w:t>衄，</w:t>
      </w:r>
      <w:r>
        <w:rPr>
          <w:rFonts w:hint="eastAsia"/>
        </w:rPr>
        <w:t>皮肤紫斑，便血（黑便），大便秘结，小便黄赤，舌红暗，苔</w:t>
      </w:r>
      <w:r>
        <w:rPr>
          <w:rFonts w:hint="eastAsia"/>
          <w:color w:val="000000"/>
        </w:rPr>
        <w:t>少</w:t>
      </w:r>
      <w:r>
        <w:rPr>
          <w:rFonts w:hint="eastAsia"/>
        </w:rPr>
        <w:t>，脉弦数，或弦滑数。</w:t>
      </w:r>
    </w:p>
    <w:p w:rsidR="00F527E6" w:rsidRDefault="0080068E" w:rsidP="00F527E6">
      <w:pPr>
        <w:adjustRightInd w:val="0"/>
        <w:snapToGrid w:val="0"/>
        <w:spacing w:line="400" w:lineRule="exact"/>
        <w:ind w:firstLineChars="200" w:firstLine="480"/>
      </w:pPr>
      <w:r>
        <w:rPr>
          <w:rFonts w:ascii="宋体" w:hAnsi="宋体"/>
        </w:rPr>
        <w:t>3.</w:t>
      </w:r>
      <w:r>
        <w:rPr>
          <w:rFonts w:hint="eastAsia"/>
        </w:rPr>
        <w:t>脾肾两虚夹瘀证</w:t>
      </w:r>
    </w:p>
    <w:p w:rsidR="00F527E6" w:rsidRDefault="0080068E" w:rsidP="00F527E6">
      <w:pPr>
        <w:adjustRightInd w:val="0"/>
        <w:snapToGrid w:val="0"/>
        <w:spacing w:line="400" w:lineRule="exact"/>
        <w:ind w:firstLineChars="200" w:firstLine="480"/>
      </w:pPr>
      <w:r>
        <w:rPr>
          <w:rFonts w:hint="eastAsia"/>
        </w:rPr>
        <w:t>头痛眩晕，体倦乏力，气短懒言，胸闷心悸，胁下积块，腰膝酸软，畏寒肢冷，便溏，小便清长，夜尿频多，手足麻痹，肢体瘀胀，或溃烂坏疽，口淡，纳呆，舌淡胖、暗或有瘀点，苔白滑，脉沉细虚，或沉细涩。</w:t>
      </w:r>
    </w:p>
    <w:p w:rsidR="00F527E6" w:rsidRDefault="0080068E" w:rsidP="00F527E6">
      <w:pPr>
        <w:adjustRightInd w:val="0"/>
        <w:snapToGrid w:val="0"/>
        <w:spacing w:line="400" w:lineRule="exact"/>
        <w:ind w:firstLineChars="200" w:firstLine="480"/>
      </w:pPr>
      <w:r>
        <w:rPr>
          <w:rFonts w:ascii="宋体" w:hAnsi="宋体"/>
        </w:rPr>
        <w:t>4.</w:t>
      </w:r>
      <w:r>
        <w:rPr>
          <w:rFonts w:hint="eastAsia"/>
        </w:rPr>
        <w:t>肝肾阴虚夹瘀证</w:t>
      </w:r>
    </w:p>
    <w:p w:rsidR="00F527E6" w:rsidRDefault="0080068E" w:rsidP="00F527E6">
      <w:pPr>
        <w:adjustRightInd w:val="0"/>
        <w:snapToGrid w:val="0"/>
        <w:spacing w:line="400" w:lineRule="exact"/>
        <w:ind w:firstLineChars="200" w:firstLine="480"/>
      </w:pPr>
      <w:r>
        <w:rPr>
          <w:rFonts w:hint="eastAsia"/>
        </w:rPr>
        <w:t>头痛头晕，视朦，耳鸣，肢体麻痹不仁，肢体瘀胀，或半身不遂，口眼歪斜，言语不利，胁下积块，五心烦热，口干咽燥，失眠多梦，潮热盗汗，或皮下紫癜，</w:t>
      </w:r>
      <w:r>
        <w:rPr>
          <w:rFonts w:hint="eastAsia"/>
        </w:rPr>
        <w:lastRenderedPageBreak/>
        <w:t>牙龈</w:t>
      </w:r>
      <w:r>
        <w:rPr>
          <w:rFonts w:hint="eastAsia"/>
          <w:color w:val="000000"/>
        </w:rPr>
        <w:t>出血，鼻衄</w:t>
      </w:r>
      <w:r>
        <w:rPr>
          <w:rFonts w:hint="eastAsia"/>
        </w:rPr>
        <w:t>，舌暗红或光红少苔，瘀斑，脉弦细涩数。</w:t>
      </w:r>
    </w:p>
    <w:p w:rsidR="00F527E6" w:rsidRPr="00603D0E" w:rsidRDefault="00F527E6" w:rsidP="00603D0E">
      <w:pPr>
        <w:widowControl/>
        <w:spacing w:line="400" w:lineRule="exact"/>
        <w:ind w:firstLineChars="200" w:firstLine="480"/>
        <w:rPr>
          <w:rFonts w:ascii="黑体" w:eastAsia="黑体" w:hAnsi="宋体" w:cstheme="minorBidi"/>
          <w:szCs w:val="22"/>
        </w:rPr>
      </w:pPr>
      <w:r w:rsidRPr="00603D0E">
        <w:rPr>
          <w:rFonts w:ascii="黑体" w:eastAsia="黑体" w:hAnsi="宋体" w:cstheme="minorBidi" w:hint="eastAsia"/>
          <w:szCs w:val="22"/>
        </w:rPr>
        <w:t>二、治疗方法</w:t>
      </w:r>
    </w:p>
    <w:p w:rsidR="00F527E6" w:rsidRPr="00603D0E" w:rsidRDefault="0080068E" w:rsidP="00603D0E">
      <w:pPr>
        <w:widowControl/>
        <w:spacing w:line="400" w:lineRule="exact"/>
        <w:ind w:firstLineChars="200" w:firstLine="480"/>
        <w:rPr>
          <w:rFonts w:asciiTheme="minorEastAsia" w:eastAsiaTheme="minorEastAsia" w:hAnsiTheme="minorEastAsia" w:cstheme="minorBidi"/>
          <w:szCs w:val="22"/>
        </w:rPr>
      </w:pPr>
      <w:r w:rsidRPr="00603D0E">
        <w:rPr>
          <w:rFonts w:asciiTheme="minorEastAsia" w:eastAsiaTheme="minorEastAsia" w:hAnsiTheme="minorEastAsia" w:cstheme="minorBidi" w:hint="eastAsia"/>
          <w:szCs w:val="22"/>
        </w:rPr>
        <w:t>（二）辨证论治</w:t>
      </w:r>
    </w:p>
    <w:p w:rsidR="00F527E6" w:rsidRDefault="0080068E" w:rsidP="00F527E6">
      <w:pPr>
        <w:adjustRightInd w:val="0"/>
        <w:snapToGrid w:val="0"/>
        <w:spacing w:line="400" w:lineRule="exact"/>
        <w:ind w:firstLineChars="200" w:firstLine="480"/>
      </w:pPr>
      <w:r>
        <w:rPr>
          <w:rFonts w:ascii="宋体" w:hAnsi="宋体"/>
        </w:rPr>
        <w:t>1.</w:t>
      </w:r>
      <w:r>
        <w:rPr>
          <w:rFonts w:hint="eastAsia"/>
        </w:rPr>
        <w:t>肝郁脾虚夹瘀证</w:t>
      </w:r>
    </w:p>
    <w:p w:rsidR="00F527E6" w:rsidRDefault="0080068E" w:rsidP="00F527E6">
      <w:pPr>
        <w:adjustRightInd w:val="0"/>
        <w:snapToGrid w:val="0"/>
        <w:spacing w:line="400" w:lineRule="exact"/>
        <w:ind w:firstLineChars="200" w:firstLine="480"/>
      </w:pPr>
      <w:r>
        <w:rPr>
          <w:rFonts w:hint="eastAsia"/>
        </w:rPr>
        <w:t>治法：疏肝解郁，健脾化瘀。</w:t>
      </w:r>
    </w:p>
    <w:p w:rsidR="00F527E6" w:rsidRDefault="0080068E" w:rsidP="00F527E6">
      <w:pPr>
        <w:adjustRightInd w:val="0"/>
        <w:snapToGrid w:val="0"/>
        <w:spacing w:line="400" w:lineRule="exact"/>
        <w:ind w:firstLineChars="200" w:firstLine="480"/>
      </w:pPr>
      <w:r>
        <w:rPr>
          <w:rFonts w:hint="eastAsia"/>
        </w:rPr>
        <w:t>推荐方药：逍遥散合活络效灵丹加减。柴胡、当归、茯苓、白芍、白术、甘草、丹参、乳香、没药。或具有同类功效的中成药（包括中药注射剂）。</w:t>
      </w:r>
    </w:p>
    <w:p w:rsidR="00F527E6" w:rsidRDefault="0080068E" w:rsidP="00F527E6">
      <w:pPr>
        <w:adjustRightInd w:val="0"/>
        <w:snapToGrid w:val="0"/>
        <w:spacing w:line="400" w:lineRule="exact"/>
        <w:ind w:firstLineChars="200" w:firstLine="480"/>
      </w:pPr>
      <w:r>
        <w:rPr>
          <w:rFonts w:ascii="宋体" w:hAnsi="宋体"/>
        </w:rPr>
        <w:t>2.</w:t>
      </w:r>
      <w:r>
        <w:rPr>
          <w:rFonts w:hint="eastAsia"/>
        </w:rPr>
        <w:t>肝郁血热夹瘀证</w:t>
      </w:r>
    </w:p>
    <w:p w:rsidR="00F527E6" w:rsidRDefault="0080068E" w:rsidP="00F527E6">
      <w:pPr>
        <w:adjustRightInd w:val="0"/>
        <w:snapToGrid w:val="0"/>
        <w:spacing w:line="400" w:lineRule="exact"/>
        <w:ind w:firstLineChars="200" w:firstLine="480"/>
        <w:rPr>
          <w:rFonts w:ascii="宋体" w:hAnsi="宋体"/>
        </w:rPr>
      </w:pPr>
      <w:r>
        <w:rPr>
          <w:rFonts w:hint="eastAsia"/>
        </w:rPr>
        <w:t>治法：疏肝解郁，凉血化瘀。</w:t>
      </w:r>
    </w:p>
    <w:p w:rsidR="00F527E6" w:rsidRDefault="0080068E" w:rsidP="00F527E6">
      <w:pPr>
        <w:adjustRightInd w:val="0"/>
        <w:snapToGrid w:val="0"/>
        <w:spacing w:line="400" w:lineRule="exact"/>
        <w:ind w:firstLineChars="200" w:firstLine="480"/>
      </w:pPr>
      <w:r>
        <w:rPr>
          <w:rFonts w:hint="eastAsia"/>
        </w:rPr>
        <w:t>推荐方药：丹栀逍遥散合犀角地角汤加减。</w:t>
      </w:r>
      <w:r>
        <w:t>白术</w:t>
      </w:r>
      <w:r>
        <w:rPr>
          <w:rFonts w:hint="eastAsia"/>
        </w:rPr>
        <w:t>、</w:t>
      </w:r>
      <w:r>
        <w:t>柴胡</w:t>
      </w:r>
      <w:r>
        <w:rPr>
          <w:rFonts w:hint="eastAsia"/>
        </w:rPr>
        <w:t>、</w:t>
      </w:r>
      <w:r>
        <w:t>当归</w:t>
      </w:r>
      <w:r>
        <w:rPr>
          <w:rFonts w:hint="eastAsia"/>
        </w:rPr>
        <w:t>、</w:t>
      </w:r>
      <w:r>
        <w:t>茯苓</w:t>
      </w:r>
      <w:r>
        <w:rPr>
          <w:rFonts w:hint="eastAsia"/>
        </w:rPr>
        <w:t>、</w:t>
      </w:r>
      <w:r>
        <w:t>甘草</w:t>
      </w:r>
      <w:r>
        <w:rPr>
          <w:rFonts w:hint="eastAsia"/>
        </w:rPr>
        <w:t>、</w:t>
      </w:r>
      <w:r>
        <w:t>牡丹皮</w:t>
      </w:r>
      <w:r>
        <w:rPr>
          <w:rFonts w:hint="eastAsia"/>
        </w:rPr>
        <w:t>、</w:t>
      </w:r>
      <w:r>
        <w:t>山栀</w:t>
      </w:r>
      <w:r>
        <w:rPr>
          <w:rFonts w:hint="eastAsia"/>
        </w:rPr>
        <w:t>、</w:t>
      </w:r>
      <w:r>
        <w:t>芍药、犀角（</w:t>
      </w:r>
      <w:r>
        <w:rPr>
          <w:rFonts w:hint="eastAsia"/>
        </w:rPr>
        <w:t>水牛角代</w:t>
      </w:r>
      <w:r>
        <w:t>）</w:t>
      </w:r>
      <w:r>
        <w:rPr>
          <w:rFonts w:hint="eastAsia"/>
        </w:rPr>
        <w:t>、生地。或具有同类功效的中成药（包括中药注射剂）。</w:t>
      </w:r>
    </w:p>
    <w:p w:rsidR="00F527E6" w:rsidRDefault="0080068E" w:rsidP="00F527E6">
      <w:pPr>
        <w:adjustRightInd w:val="0"/>
        <w:snapToGrid w:val="0"/>
        <w:spacing w:line="400" w:lineRule="exact"/>
        <w:ind w:firstLineChars="200" w:firstLine="480"/>
      </w:pPr>
      <w:r>
        <w:rPr>
          <w:rFonts w:ascii="宋体" w:hAnsi="宋体"/>
        </w:rPr>
        <w:t>3.</w:t>
      </w:r>
      <w:r>
        <w:rPr>
          <w:rFonts w:hint="eastAsia"/>
        </w:rPr>
        <w:t>脾肾两虚夹瘀证</w:t>
      </w:r>
    </w:p>
    <w:p w:rsidR="00F527E6" w:rsidRDefault="0080068E" w:rsidP="00F527E6">
      <w:pPr>
        <w:adjustRightInd w:val="0"/>
        <w:snapToGrid w:val="0"/>
        <w:spacing w:line="400" w:lineRule="exact"/>
        <w:ind w:firstLineChars="200" w:firstLine="480"/>
        <w:rPr>
          <w:rFonts w:ascii="宋体" w:hAnsi="宋体"/>
        </w:rPr>
      </w:pPr>
      <w:r>
        <w:rPr>
          <w:rFonts w:hint="eastAsia"/>
        </w:rPr>
        <w:t>治法：温肾健脾，化瘀消癥。</w:t>
      </w:r>
    </w:p>
    <w:p w:rsidR="00F527E6" w:rsidRDefault="0080068E" w:rsidP="00F527E6">
      <w:pPr>
        <w:adjustRightInd w:val="0"/>
        <w:snapToGrid w:val="0"/>
        <w:spacing w:line="400" w:lineRule="exact"/>
        <w:ind w:firstLineChars="200" w:firstLine="480"/>
        <w:rPr>
          <w:rFonts w:ascii="宋体" w:hAnsi="宋体"/>
        </w:rPr>
      </w:pPr>
      <w:r>
        <w:rPr>
          <w:rFonts w:hint="eastAsia"/>
        </w:rPr>
        <w:t>推荐方药：附桂理中汤合补阳还五汤加减。</w:t>
      </w:r>
      <w:r>
        <w:rPr>
          <w:rFonts w:ascii="宋体" w:hAnsi="宋体"/>
        </w:rPr>
        <w:t>人参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炒白术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炒干姜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肉桂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制附子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炙甘草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黄芪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赤芍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地龙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川芎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桃仁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红花</w:t>
      </w:r>
      <w:r>
        <w:rPr>
          <w:rFonts w:ascii="宋体" w:hAnsi="宋体" w:hint="eastAsia"/>
        </w:rPr>
        <w:t>。</w:t>
      </w:r>
      <w:r>
        <w:rPr>
          <w:rFonts w:hint="eastAsia"/>
        </w:rPr>
        <w:t>或具有同类功效的中成药（包括中药注射剂）。</w:t>
      </w:r>
    </w:p>
    <w:p w:rsidR="00F527E6" w:rsidRDefault="0080068E" w:rsidP="00F527E6">
      <w:pPr>
        <w:adjustRightInd w:val="0"/>
        <w:snapToGrid w:val="0"/>
        <w:spacing w:line="400" w:lineRule="exact"/>
        <w:ind w:firstLine="426"/>
      </w:pPr>
      <w:r>
        <w:rPr>
          <w:rFonts w:ascii="宋体" w:hAnsi="宋体" w:hint="eastAsia"/>
        </w:rPr>
        <w:t>4.</w:t>
      </w:r>
      <w:r>
        <w:rPr>
          <w:rFonts w:hint="eastAsia"/>
        </w:rPr>
        <w:t>肝肾阴虚夹瘀证</w:t>
      </w:r>
    </w:p>
    <w:p w:rsidR="00F527E6" w:rsidRDefault="0080068E" w:rsidP="00F527E6">
      <w:pPr>
        <w:adjustRightInd w:val="0"/>
        <w:snapToGrid w:val="0"/>
        <w:spacing w:line="400" w:lineRule="exact"/>
        <w:ind w:firstLine="200"/>
        <w:rPr>
          <w:rFonts w:ascii="宋体" w:hAnsi="宋体"/>
        </w:rPr>
      </w:pPr>
      <w:r>
        <w:rPr>
          <w:rFonts w:hint="eastAsia"/>
        </w:rPr>
        <w:t>治法：滋养肝肾，化瘀消癥。</w:t>
      </w:r>
    </w:p>
    <w:p w:rsidR="00F527E6" w:rsidRDefault="0080068E" w:rsidP="00F527E6">
      <w:pPr>
        <w:adjustRightInd w:val="0"/>
        <w:snapToGrid w:val="0"/>
        <w:spacing w:line="400" w:lineRule="exact"/>
        <w:ind w:firstLine="200"/>
      </w:pPr>
      <w:r>
        <w:rPr>
          <w:rFonts w:hint="eastAsia"/>
        </w:rPr>
        <w:t>推荐方药：知柏地黄丸合桃红四物汤加减。知母、黄柏、熟地、山药、山茱萸、丹皮、茯苓、泽泻、当归、川芎、白芍、桃仁、红花。或具有同类功效的中成药（包括中药注射剂）。</w:t>
      </w:r>
    </w:p>
    <w:p w:rsidR="00F527E6" w:rsidRDefault="0080068E" w:rsidP="00F527E6">
      <w:pPr>
        <w:adjustRightInd w:val="0"/>
        <w:snapToGrid w:val="0"/>
        <w:spacing w:line="400" w:lineRule="exact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（二）其他中医特色疗法</w:t>
      </w:r>
    </w:p>
    <w:p w:rsidR="00F527E6" w:rsidRDefault="0080068E" w:rsidP="00F527E6">
      <w:pPr>
        <w:adjustRightInd w:val="0"/>
        <w:snapToGrid w:val="0"/>
        <w:spacing w:line="400" w:lineRule="exact"/>
        <w:ind w:firstLineChars="200" w:firstLine="480"/>
        <w:rPr>
          <w:rFonts w:ascii="宋体" w:hAnsi="宋体"/>
        </w:rPr>
      </w:pPr>
      <w:r>
        <w:rPr>
          <w:rFonts w:ascii="宋体" w:hAnsi="宋体"/>
        </w:rPr>
        <w:t>1.</w:t>
      </w:r>
      <w:r>
        <w:rPr>
          <w:rFonts w:ascii="宋体" w:hAnsi="宋体" w:hint="eastAsia"/>
        </w:rPr>
        <w:t>非药物疗法</w:t>
      </w:r>
    </w:p>
    <w:p w:rsidR="00F527E6" w:rsidRDefault="0080068E" w:rsidP="00F527E6">
      <w:pPr>
        <w:adjustRightInd w:val="0"/>
        <w:snapToGrid w:val="0"/>
        <w:spacing w:line="400" w:lineRule="exact"/>
        <w:ind w:firstLineChars="200" w:firstLine="480"/>
      </w:pPr>
      <w:r>
        <w:rPr>
          <w:rFonts w:ascii="宋体" w:hAnsi="宋体" w:hint="eastAsia"/>
        </w:rPr>
        <w:t>根据临床表现选择</w:t>
      </w:r>
      <w:r>
        <w:rPr>
          <w:rFonts w:hint="eastAsia"/>
        </w:rPr>
        <w:t>针灸、推拿。适当运动康复，可采用散步、慢跑、太极拳、八段锦、静坐吐纳等养生法。</w:t>
      </w:r>
    </w:p>
    <w:p w:rsidR="00F527E6" w:rsidRDefault="0080068E" w:rsidP="00F527E6">
      <w:pPr>
        <w:adjustRightInd w:val="0"/>
        <w:snapToGrid w:val="0"/>
        <w:spacing w:line="400" w:lineRule="exact"/>
        <w:ind w:firstLineChars="200" w:firstLine="480"/>
      </w:pPr>
      <w:r>
        <w:t>2.</w:t>
      </w:r>
      <w:r>
        <w:rPr>
          <w:rFonts w:hint="eastAsia"/>
        </w:rPr>
        <w:t>中药敷贴</w:t>
      </w:r>
    </w:p>
    <w:p w:rsidR="00F527E6" w:rsidRDefault="0080068E" w:rsidP="00F527E6">
      <w:pPr>
        <w:adjustRightInd w:val="0"/>
        <w:snapToGrid w:val="0"/>
        <w:spacing w:line="400" w:lineRule="exact"/>
        <w:ind w:firstLineChars="200" w:firstLine="480"/>
      </w:pPr>
      <w:r>
        <w:rPr>
          <w:rFonts w:hint="eastAsia"/>
        </w:rPr>
        <w:t>脾肿大者，可以运用青黛或双柏散、双柏油膏外敷。</w:t>
      </w:r>
    </w:p>
    <w:p w:rsidR="00F527E6" w:rsidRDefault="0080068E" w:rsidP="007C086A">
      <w:pPr>
        <w:adjustRightInd w:val="0"/>
        <w:snapToGrid w:val="0"/>
        <w:spacing w:before="78" w:after="78" w:line="400" w:lineRule="exact"/>
        <w:ind w:firstLineChars="200" w:firstLine="4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（三）西药治疗</w:t>
      </w:r>
    </w:p>
    <w:p w:rsidR="00F527E6" w:rsidRDefault="0080068E" w:rsidP="00F527E6">
      <w:pPr>
        <w:pStyle w:val="ad"/>
        <w:adjustRightInd w:val="0"/>
        <w:snapToGrid w:val="0"/>
        <w:spacing w:line="400" w:lineRule="exact"/>
        <w:ind w:firstLine="480"/>
      </w:pPr>
      <w:r>
        <w:rPr>
          <w:rFonts w:hint="eastAsia"/>
        </w:rPr>
        <w:t>可参考《</w:t>
      </w:r>
      <w:r>
        <w:rPr>
          <w:rFonts w:ascii="Arial" w:hAnsi="Arial" w:cs="Arial"/>
          <w:bCs/>
          <w:color w:val="000000"/>
          <w:kern w:val="36"/>
        </w:rPr>
        <w:t>原发性血小板增多症诊断与治疗中国专家共识</w:t>
      </w:r>
      <w:r>
        <w:rPr>
          <w:rFonts w:ascii="Arial" w:hAnsi="Arial" w:cs="Arial"/>
          <w:bCs/>
          <w:color w:val="000000"/>
          <w:kern w:val="36"/>
        </w:rPr>
        <w:t>(201</w:t>
      </w:r>
      <w:r>
        <w:rPr>
          <w:rFonts w:ascii="Arial" w:hAnsi="Arial" w:cs="Arial" w:hint="eastAsia"/>
          <w:bCs/>
          <w:color w:val="000000"/>
          <w:kern w:val="36"/>
        </w:rPr>
        <w:t>6</w:t>
      </w:r>
      <w:r>
        <w:rPr>
          <w:rFonts w:ascii="Arial" w:hAnsi="Arial" w:cs="Arial"/>
          <w:bCs/>
          <w:color w:val="000000"/>
          <w:kern w:val="36"/>
        </w:rPr>
        <w:t>年版</w:t>
      </w:r>
      <w:r>
        <w:rPr>
          <w:rFonts w:ascii="Arial" w:hAnsi="Arial" w:cs="Arial"/>
          <w:bCs/>
          <w:color w:val="000000"/>
          <w:kern w:val="36"/>
        </w:rPr>
        <w:t>)</w:t>
      </w:r>
      <w:r>
        <w:rPr>
          <w:rFonts w:ascii="Arial" w:hAnsi="Arial" w:cs="Arial" w:hint="eastAsia"/>
          <w:bCs/>
          <w:color w:val="000000"/>
          <w:kern w:val="36"/>
        </w:rPr>
        <w:t>》</w:t>
      </w:r>
      <w:r>
        <w:rPr>
          <w:rFonts w:ascii="Arial" w:hAnsi="Arial" w:cs="Arial" w:hint="eastAsia"/>
          <w:bCs/>
          <w:color w:val="000000"/>
          <w:kern w:val="36"/>
          <w:vertAlign w:val="superscript"/>
        </w:rPr>
        <w:t>[</w:t>
      </w:r>
      <w:r>
        <w:rPr>
          <w:rFonts w:ascii="Arial" w:hAnsi="Arial" w:cs="Arial"/>
          <w:bCs/>
          <w:color w:val="000000"/>
          <w:kern w:val="36"/>
          <w:vertAlign w:val="superscript"/>
        </w:rPr>
        <w:t>3]</w:t>
      </w:r>
      <w:r>
        <w:rPr>
          <w:rFonts w:hint="eastAsia"/>
        </w:rPr>
        <w:t>。中危组患者可选用羟基脲；高危组患者可选用或联用干扰素或阿拉格雷；同时预防性使用抗血小板聚积剂；有特异性</w:t>
      </w:r>
      <w:r>
        <w:rPr>
          <w:rFonts w:ascii="宋体" w:hAnsi="宋体" w:hint="eastAsia"/>
        </w:rPr>
        <w:t>克隆标志：JAK2V617</w:t>
      </w:r>
      <w:r>
        <w:rPr>
          <w:rFonts w:ascii="宋体" w:hAnsi="宋体"/>
        </w:rPr>
        <w:t>F</w:t>
      </w:r>
      <w:r>
        <w:rPr>
          <w:rFonts w:ascii="宋体" w:hAnsi="宋体" w:hint="eastAsia"/>
        </w:rPr>
        <w:t>，CARL，MPL或克隆标志的表达，选用</w:t>
      </w:r>
      <w:r>
        <w:rPr>
          <w:rFonts w:hint="eastAsia"/>
        </w:rPr>
        <w:t>靶向药物治疗。</w:t>
      </w:r>
    </w:p>
    <w:p w:rsidR="00F527E6" w:rsidRDefault="0080068E" w:rsidP="007C086A">
      <w:pPr>
        <w:adjustRightInd w:val="0"/>
        <w:snapToGrid w:val="0"/>
        <w:spacing w:before="78" w:after="78" w:line="400" w:lineRule="exact"/>
        <w:ind w:firstLineChars="200" w:firstLine="4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（四）护理调摄要点</w:t>
      </w:r>
    </w:p>
    <w:p w:rsidR="00F527E6" w:rsidRDefault="0080068E" w:rsidP="00B27299">
      <w:pPr>
        <w:adjustRightInd w:val="0"/>
        <w:snapToGrid w:val="0"/>
        <w:spacing w:line="400" w:lineRule="exact"/>
        <w:ind w:firstLineChars="250" w:firstLine="600"/>
      </w:pPr>
      <w:r>
        <w:rPr>
          <w:rFonts w:ascii="宋体" w:hAnsi="宋体"/>
        </w:rPr>
        <w:lastRenderedPageBreak/>
        <w:t>1.</w:t>
      </w:r>
      <w:r>
        <w:rPr>
          <w:rFonts w:hint="eastAsia"/>
        </w:rPr>
        <w:t>起居调摄</w:t>
      </w:r>
    </w:p>
    <w:p w:rsidR="00F527E6" w:rsidRDefault="0080068E" w:rsidP="00B27299">
      <w:pPr>
        <w:adjustRightInd w:val="0"/>
        <w:snapToGrid w:val="0"/>
        <w:spacing w:line="400" w:lineRule="exact"/>
      </w:pPr>
      <w:r>
        <w:rPr>
          <w:rFonts w:hint="eastAsia"/>
        </w:rPr>
        <w:t>加强防护，避免接触有毒有害物质；适度运动，及时补水，避免血栓事件。</w:t>
      </w:r>
    </w:p>
    <w:p w:rsidR="00F527E6" w:rsidRDefault="0080068E" w:rsidP="00B27299">
      <w:pPr>
        <w:adjustRightInd w:val="0"/>
        <w:snapToGrid w:val="0"/>
        <w:spacing w:line="400" w:lineRule="exact"/>
        <w:ind w:firstLineChars="250" w:firstLine="600"/>
      </w:pPr>
      <w:r>
        <w:rPr>
          <w:rFonts w:ascii="宋体" w:hAnsi="宋体"/>
        </w:rPr>
        <w:t>2.</w:t>
      </w:r>
      <w:r>
        <w:rPr>
          <w:rFonts w:hint="eastAsia"/>
        </w:rPr>
        <w:t>饮食调理</w:t>
      </w:r>
    </w:p>
    <w:p w:rsidR="00F527E6" w:rsidRDefault="0080068E" w:rsidP="00B27299">
      <w:pPr>
        <w:adjustRightInd w:val="0"/>
        <w:snapToGrid w:val="0"/>
        <w:spacing w:line="400" w:lineRule="exact"/>
      </w:pPr>
      <w:r>
        <w:rPr>
          <w:rFonts w:hint="eastAsia"/>
        </w:rPr>
        <w:t>适宜清淡，合理营养食品，忌用辛辣、燥热动血之品，宜戒烟、酒。</w:t>
      </w:r>
    </w:p>
    <w:p w:rsidR="00F527E6" w:rsidRDefault="0080068E" w:rsidP="00B27299">
      <w:pPr>
        <w:adjustRightInd w:val="0"/>
        <w:snapToGrid w:val="0"/>
        <w:spacing w:line="400" w:lineRule="exact"/>
        <w:ind w:firstLineChars="250" w:firstLine="600"/>
      </w:pPr>
      <w:r>
        <w:rPr>
          <w:rFonts w:ascii="宋体" w:hAnsi="宋体"/>
        </w:rPr>
        <w:t>3.</w:t>
      </w:r>
      <w:r>
        <w:rPr>
          <w:rFonts w:hint="eastAsia"/>
        </w:rPr>
        <w:t>情志调理</w:t>
      </w:r>
    </w:p>
    <w:p w:rsidR="00F527E6" w:rsidRDefault="0080068E" w:rsidP="00B27299">
      <w:pPr>
        <w:adjustRightInd w:val="0"/>
        <w:snapToGrid w:val="0"/>
        <w:spacing w:line="400" w:lineRule="exact"/>
      </w:pPr>
      <w:r>
        <w:rPr>
          <w:rFonts w:hint="eastAsia"/>
        </w:rPr>
        <w:t>保持心情舒畅，避免情绪刺激；正确认识疾病，必要时进行心理辅导。</w:t>
      </w:r>
    </w:p>
    <w:p w:rsidR="00F527E6" w:rsidRPr="00603D0E" w:rsidRDefault="00F527E6" w:rsidP="00603D0E">
      <w:pPr>
        <w:widowControl/>
        <w:spacing w:line="400" w:lineRule="exact"/>
        <w:ind w:firstLineChars="200" w:firstLine="480"/>
        <w:rPr>
          <w:rFonts w:ascii="黑体" w:eastAsia="黑体" w:hAnsi="宋体" w:cstheme="minorBidi"/>
          <w:szCs w:val="22"/>
        </w:rPr>
      </w:pPr>
      <w:r w:rsidRPr="00603D0E">
        <w:rPr>
          <w:rFonts w:ascii="黑体" w:eastAsia="黑体" w:hAnsi="宋体" w:cstheme="minorBidi" w:hint="eastAsia"/>
          <w:szCs w:val="22"/>
        </w:rPr>
        <w:t>三疗效评价</w:t>
      </w:r>
    </w:p>
    <w:p w:rsidR="00F527E6" w:rsidRPr="00603D0E" w:rsidRDefault="0080068E" w:rsidP="00603D0E">
      <w:pPr>
        <w:widowControl/>
        <w:spacing w:line="400" w:lineRule="exact"/>
        <w:ind w:firstLineChars="200" w:firstLine="480"/>
        <w:rPr>
          <w:rFonts w:asciiTheme="minorEastAsia" w:eastAsiaTheme="minorEastAsia" w:hAnsiTheme="minorEastAsia" w:cstheme="minorBidi"/>
          <w:szCs w:val="22"/>
        </w:rPr>
      </w:pPr>
      <w:r w:rsidRPr="00603D0E">
        <w:rPr>
          <w:rFonts w:asciiTheme="minorEastAsia" w:eastAsiaTheme="minorEastAsia" w:hAnsiTheme="minorEastAsia" w:cstheme="minorBidi" w:hint="eastAsia"/>
          <w:szCs w:val="22"/>
        </w:rPr>
        <w:t>（一）疾病疗效</w:t>
      </w:r>
    </w:p>
    <w:p w:rsidR="00F527E6" w:rsidRDefault="0080068E" w:rsidP="00F527E6">
      <w:pPr>
        <w:adjustRightInd w:val="0"/>
        <w:snapToGrid w:val="0"/>
        <w:spacing w:line="400" w:lineRule="exact"/>
        <w:ind w:firstLineChars="200" w:firstLine="480"/>
      </w:pPr>
      <w:r>
        <w:rPr>
          <w:rFonts w:hint="eastAsia"/>
        </w:rPr>
        <w:t>参考《</w:t>
      </w:r>
      <w:r>
        <w:rPr>
          <w:rFonts w:ascii="Arial" w:hAnsi="Arial" w:cs="Arial"/>
          <w:bCs/>
          <w:color w:val="000000"/>
          <w:kern w:val="36"/>
        </w:rPr>
        <w:t>原发性血小板增多症诊断与治疗中国专家共识</w:t>
      </w:r>
      <w:r>
        <w:rPr>
          <w:rFonts w:ascii="Arial" w:hAnsi="Arial" w:cs="Arial"/>
          <w:bCs/>
          <w:color w:val="000000"/>
          <w:kern w:val="36"/>
        </w:rPr>
        <w:t>(2016</w:t>
      </w:r>
      <w:r>
        <w:rPr>
          <w:rFonts w:ascii="Arial" w:hAnsi="Arial" w:cs="Arial"/>
          <w:bCs/>
          <w:color w:val="000000"/>
          <w:kern w:val="36"/>
        </w:rPr>
        <w:t>年版</w:t>
      </w:r>
      <w:r>
        <w:rPr>
          <w:rFonts w:ascii="Arial" w:hAnsi="Arial" w:cs="Arial"/>
          <w:bCs/>
          <w:color w:val="000000"/>
          <w:kern w:val="36"/>
        </w:rPr>
        <w:t>)</w:t>
      </w:r>
      <w:r>
        <w:rPr>
          <w:rFonts w:ascii="Arial" w:hAnsi="Arial" w:cs="Arial" w:hint="eastAsia"/>
          <w:bCs/>
          <w:color w:val="000000"/>
          <w:kern w:val="36"/>
        </w:rPr>
        <w:t>》</w:t>
      </w:r>
      <w:r>
        <w:rPr>
          <w:rFonts w:ascii="Arial" w:hAnsi="Arial" w:cs="Arial" w:hint="eastAsia"/>
          <w:bCs/>
          <w:color w:val="000000"/>
          <w:kern w:val="36"/>
          <w:vertAlign w:val="superscript"/>
        </w:rPr>
        <w:t>[</w:t>
      </w:r>
      <w:r>
        <w:rPr>
          <w:rFonts w:ascii="Arial" w:hAnsi="Arial" w:cs="Arial"/>
          <w:bCs/>
          <w:color w:val="000000"/>
          <w:kern w:val="36"/>
          <w:vertAlign w:val="superscript"/>
        </w:rPr>
        <w:t>3]</w:t>
      </w:r>
      <w:r>
        <w:rPr>
          <w:rFonts w:hint="eastAsia"/>
        </w:rPr>
        <w:t>拟定。</w:t>
      </w:r>
    </w:p>
    <w:p w:rsidR="00F527E6" w:rsidRDefault="0080068E" w:rsidP="00F527E6">
      <w:pPr>
        <w:adjustRightInd w:val="0"/>
        <w:snapToGrid w:val="0"/>
        <w:spacing w:line="400" w:lineRule="exact"/>
        <w:ind w:firstLineChars="200" w:firstLine="420"/>
        <w:jc w:val="center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原发性血小板增多症疗效标准</w:t>
      </w:r>
    </w:p>
    <w:tbl>
      <w:tblPr>
        <w:tblStyle w:val="ac"/>
        <w:tblW w:w="864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045"/>
        <w:gridCol w:w="6602"/>
      </w:tblGrid>
      <w:tr w:rsidR="00F527E6" w:rsidTr="007C086A">
        <w:tc>
          <w:tcPr>
            <w:tcW w:w="2045" w:type="dxa"/>
            <w:tcBorders>
              <w:top w:val="single" w:sz="4" w:space="0" w:color="auto"/>
              <w:bottom w:val="single" w:sz="4" w:space="0" w:color="auto"/>
            </w:tcBorders>
          </w:tcPr>
          <w:p w:rsidR="00F527E6" w:rsidRDefault="0080068E" w:rsidP="00F527E6">
            <w:pPr>
              <w:adjustRightInd w:val="0"/>
              <w:snapToGrid w:val="0"/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疗效标准</w:t>
            </w:r>
          </w:p>
        </w:tc>
        <w:tc>
          <w:tcPr>
            <w:tcW w:w="6602" w:type="dxa"/>
            <w:tcBorders>
              <w:top w:val="single" w:sz="4" w:space="0" w:color="auto"/>
              <w:bottom w:val="single" w:sz="4" w:space="0" w:color="auto"/>
            </w:tcBorders>
          </w:tcPr>
          <w:p w:rsidR="00F527E6" w:rsidRDefault="0080068E" w:rsidP="00F527E6">
            <w:pPr>
              <w:adjustRightInd w:val="0"/>
              <w:snapToGrid w:val="0"/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定义</w:t>
            </w:r>
          </w:p>
        </w:tc>
      </w:tr>
      <w:tr w:rsidR="00F527E6" w:rsidTr="007C086A">
        <w:tc>
          <w:tcPr>
            <w:tcW w:w="2045" w:type="dxa"/>
            <w:tcBorders>
              <w:top w:val="single" w:sz="4" w:space="0" w:color="auto"/>
            </w:tcBorders>
          </w:tcPr>
          <w:p w:rsidR="00F527E6" w:rsidRDefault="0080068E" w:rsidP="00F527E6">
            <w:pPr>
              <w:adjustRightInd w:val="0"/>
              <w:snapToGrid w:val="0"/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完全缓解（</w:t>
            </w: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sz w:val="21"/>
                <w:szCs w:val="21"/>
              </w:rPr>
              <w:t>R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602" w:type="dxa"/>
            <w:tcBorders>
              <w:top w:val="single" w:sz="4" w:space="0" w:color="auto"/>
            </w:tcBorders>
          </w:tcPr>
          <w:p w:rsidR="00F527E6" w:rsidRDefault="0080068E" w:rsidP="00F527E6">
            <w:pPr>
              <w:adjustRightInd w:val="0"/>
              <w:snapToGrid w:val="0"/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已下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条必须全部符合：</w:t>
            </w:r>
          </w:p>
        </w:tc>
      </w:tr>
      <w:tr w:rsidR="00F527E6" w:rsidTr="007C086A">
        <w:tc>
          <w:tcPr>
            <w:tcW w:w="2045" w:type="dxa"/>
          </w:tcPr>
          <w:p w:rsidR="00F527E6" w:rsidRDefault="00F527E6" w:rsidP="00F527E6">
            <w:pPr>
              <w:adjustRightInd w:val="0"/>
              <w:snapToGrid w:val="0"/>
              <w:spacing w:line="400" w:lineRule="exac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602" w:type="dxa"/>
          </w:tcPr>
          <w:p w:rsidR="00F527E6" w:rsidRDefault="0080068E" w:rsidP="00F527E6">
            <w:pPr>
              <w:adjustRightInd w:val="0"/>
              <w:snapToGrid w:val="0"/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①包括可触及的肝脾肿大等疾病相关体征持续（</w:t>
            </w:r>
            <w:r>
              <w:rPr>
                <w:rFonts w:ascii="宋体" w:hAnsi="宋体" w:hint="eastAsia"/>
                <w:sz w:val="21"/>
                <w:szCs w:val="21"/>
              </w:rPr>
              <w:t>≥1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周）消失，症状显著改善（</w:t>
            </w:r>
            <w:r>
              <w:rPr>
                <w:rFonts w:hint="eastAsia"/>
                <w:sz w:val="21"/>
                <w:szCs w:val="21"/>
              </w:rPr>
              <w:t>M</w:t>
            </w:r>
            <w:r>
              <w:rPr>
                <w:sz w:val="21"/>
                <w:szCs w:val="21"/>
              </w:rPr>
              <w:t>PN-SAF TSS</w:t>
            </w:r>
            <w:r>
              <w:rPr>
                <w:rFonts w:hint="eastAsia"/>
                <w:sz w:val="21"/>
                <w:szCs w:val="21"/>
              </w:rPr>
              <w:t>积分下降</w:t>
            </w:r>
            <w:r>
              <w:rPr>
                <w:rFonts w:ascii="宋体" w:hAnsi="宋体" w:hint="eastAsia"/>
                <w:sz w:val="21"/>
                <w:szCs w:val="21"/>
              </w:rPr>
              <w:t>≥</w:t>
            </w: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分）；</w:t>
            </w:r>
          </w:p>
        </w:tc>
      </w:tr>
      <w:tr w:rsidR="00F527E6" w:rsidTr="007C086A">
        <w:tc>
          <w:tcPr>
            <w:tcW w:w="2045" w:type="dxa"/>
          </w:tcPr>
          <w:p w:rsidR="00F527E6" w:rsidRDefault="00F527E6" w:rsidP="00F527E6">
            <w:pPr>
              <w:adjustRightInd w:val="0"/>
              <w:snapToGrid w:val="0"/>
              <w:spacing w:line="400" w:lineRule="exac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602" w:type="dxa"/>
          </w:tcPr>
          <w:p w:rsidR="00F527E6" w:rsidRDefault="0080068E" w:rsidP="00F527E6">
            <w:pPr>
              <w:adjustRightInd w:val="0"/>
              <w:snapToGrid w:val="0"/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②外周血细胞计数持续（≥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</w:rPr>
              <w:t>周）缓解：</w:t>
            </w:r>
            <w:r>
              <w:rPr>
                <w:rFonts w:hint="eastAsia"/>
                <w:sz w:val="21"/>
                <w:szCs w:val="21"/>
              </w:rPr>
              <w:t>P</w:t>
            </w:r>
            <w:r>
              <w:rPr>
                <w:sz w:val="21"/>
                <w:szCs w:val="21"/>
              </w:rPr>
              <w:t>LT</w:t>
            </w:r>
            <w:r>
              <w:rPr>
                <w:rFonts w:ascii="宋体" w:hAnsi="宋体" w:hint="eastAsia"/>
                <w:sz w:val="21"/>
                <w:szCs w:val="21"/>
              </w:rPr>
              <w:t>≤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×</w:t>
            </w: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  <w:vertAlign w:val="superscript"/>
              </w:rPr>
              <w:t>9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L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W</w:t>
            </w:r>
            <w:r>
              <w:rPr>
                <w:sz w:val="21"/>
                <w:szCs w:val="21"/>
              </w:rPr>
              <w:t>BC</w:t>
            </w:r>
            <w:r>
              <w:rPr>
                <w:rFonts w:ascii="宋体" w:hAnsi="宋体" w:hint="eastAsia"/>
                <w:sz w:val="21"/>
                <w:szCs w:val="21"/>
              </w:rPr>
              <w:t>＜</w:t>
            </w: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×</w:t>
            </w: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  <w:vertAlign w:val="superscript"/>
              </w:rPr>
              <w:t>9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L</w:t>
            </w:r>
            <w:r>
              <w:rPr>
                <w:rFonts w:hint="eastAsia"/>
                <w:sz w:val="21"/>
                <w:szCs w:val="21"/>
              </w:rPr>
              <w:t>，无幼粒幼红血象；</w:t>
            </w:r>
          </w:p>
        </w:tc>
      </w:tr>
      <w:tr w:rsidR="00F527E6" w:rsidTr="007C086A">
        <w:tc>
          <w:tcPr>
            <w:tcW w:w="2045" w:type="dxa"/>
          </w:tcPr>
          <w:p w:rsidR="00F527E6" w:rsidRDefault="00F527E6" w:rsidP="00F527E6">
            <w:pPr>
              <w:adjustRightInd w:val="0"/>
              <w:snapToGrid w:val="0"/>
              <w:spacing w:line="400" w:lineRule="exac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602" w:type="dxa"/>
          </w:tcPr>
          <w:p w:rsidR="00F527E6" w:rsidRDefault="0080068E" w:rsidP="00F527E6">
            <w:pPr>
              <w:adjustRightInd w:val="0"/>
              <w:snapToGrid w:val="0"/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③无疾病进展，无任何出血和血栓事件；</w:t>
            </w:r>
          </w:p>
        </w:tc>
      </w:tr>
      <w:tr w:rsidR="00F527E6" w:rsidTr="007C086A">
        <w:tc>
          <w:tcPr>
            <w:tcW w:w="2045" w:type="dxa"/>
          </w:tcPr>
          <w:p w:rsidR="00F527E6" w:rsidRDefault="00F527E6" w:rsidP="00F527E6">
            <w:pPr>
              <w:adjustRightInd w:val="0"/>
              <w:snapToGrid w:val="0"/>
              <w:spacing w:line="400" w:lineRule="exac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602" w:type="dxa"/>
          </w:tcPr>
          <w:p w:rsidR="00F527E6" w:rsidRDefault="0080068E" w:rsidP="00F527E6">
            <w:pPr>
              <w:adjustRightInd w:val="0"/>
              <w:snapToGrid w:val="0"/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④骨髓组织学缓解，巨核细胞高度增生消失，无</w:t>
            </w:r>
            <w:r>
              <w:rPr>
                <w:rFonts w:ascii="宋体" w:hAnsi="宋体" w:hint="eastAsia"/>
                <w:sz w:val="21"/>
                <w:szCs w:val="21"/>
              </w:rPr>
              <w:t>＞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级的网状纤维（欧洲分级标准）</w:t>
            </w:r>
          </w:p>
        </w:tc>
      </w:tr>
      <w:tr w:rsidR="00F527E6" w:rsidTr="007C086A">
        <w:tc>
          <w:tcPr>
            <w:tcW w:w="2045" w:type="dxa"/>
          </w:tcPr>
          <w:p w:rsidR="00F527E6" w:rsidRDefault="0080068E" w:rsidP="00F527E6">
            <w:pPr>
              <w:adjustRightInd w:val="0"/>
              <w:snapToGrid w:val="0"/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部分缓解（</w:t>
            </w:r>
            <w:r>
              <w:rPr>
                <w:rFonts w:hint="eastAsia"/>
                <w:sz w:val="21"/>
                <w:szCs w:val="21"/>
              </w:rPr>
              <w:t>P</w:t>
            </w:r>
            <w:r>
              <w:rPr>
                <w:sz w:val="21"/>
                <w:szCs w:val="21"/>
              </w:rPr>
              <w:t>R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602" w:type="dxa"/>
          </w:tcPr>
          <w:p w:rsidR="00F527E6" w:rsidRDefault="0080068E" w:rsidP="00F527E6">
            <w:pPr>
              <w:adjustRightInd w:val="0"/>
              <w:snapToGrid w:val="0"/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以下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条必须全部符合：</w:t>
            </w:r>
          </w:p>
        </w:tc>
      </w:tr>
      <w:tr w:rsidR="00F527E6" w:rsidTr="007C086A">
        <w:tc>
          <w:tcPr>
            <w:tcW w:w="2045" w:type="dxa"/>
          </w:tcPr>
          <w:p w:rsidR="00F527E6" w:rsidRDefault="00F527E6" w:rsidP="00F527E6">
            <w:pPr>
              <w:adjustRightInd w:val="0"/>
              <w:snapToGrid w:val="0"/>
              <w:spacing w:line="400" w:lineRule="exac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602" w:type="dxa"/>
          </w:tcPr>
          <w:p w:rsidR="00F527E6" w:rsidRDefault="0080068E" w:rsidP="00F527E6">
            <w:pPr>
              <w:adjustRightInd w:val="0"/>
              <w:snapToGrid w:val="0"/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①包括可触及的肝脾肿大等疾病相关体征持续（</w:t>
            </w:r>
            <w:r>
              <w:rPr>
                <w:rFonts w:ascii="宋体" w:hAnsi="宋体" w:hint="eastAsia"/>
                <w:sz w:val="21"/>
                <w:szCs w:val="21"/>
              </w:rPr>
              <w:t>≥1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周）消失，症状显著改善（</w:t>
            </w:r>
            <w:r>
              <w:rPr>
                <w:rFonts w:hint="eastAsia"/>
                <w:sz w:val="21"/>
                <w:szCs w:val="21"/>
              </w:rPr>
              <w:t>M</w:t>
            </w:r>
            <w:r>
              <w:rPr>
                <w:sz w:val="21"/>
                <w:szCs w:val="21"/>
              </w:rPr>
              <w:t>PN-SAF TSS</w:t>
            </w:r>
            <w:r>
              <w:rPr>
                <w:rFonts w:hint="eastAsia"/>
                <w:sz w:val="21"/>
                <w:szCs w:val="21"/>
              </w:rPr>
              <w:t>积分下降</w:t>
            </w:r>
            <w:r>
              <w:rPr>
                <w:rFonts w:ascii="宋体" w:hAnsi="宋体" w:hint="eastAsia"/>
                <w:sz w:val="21"/>
                <w:szCs w:val="21"/>
              </w:rPr>
              <w:t>≥</w:t>
            </w: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分）</w:t>
            </w:r>
          </w:p>
        </w:tc>
      </w:tr>
      <w:tr w:rsidR="00F527E6" w:rsidTr="007C086A">
        <w:tc>
          <w:tcPr>
            <w:tcW w:w="2045" w:type="dxa"/>
          </w:tcPr>
          <w:p w:rsidR="00F527E6" w:rsidRDefault="00F527E6" w:rsidP="00F527E6">
            <w:pPr>
              <w:adjustRightInd w:val="0"/>
              <w:snapToGrid w:val="0"/>
              <w:spacing w:line="400" w:lineRule="exac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602" w:type="dxa"/>
          </w:tcPr>
          <w:p w:rsidR="00F527E6" w:rsidRDefault="0080068E" w:rsidP="00F527E6">
            <w:pPr>
              <w:adjustRightInd w:val="0"/>
              <w:snapToGrid w:val="0"/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②外周血细胞计数持续（≥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</w:rPr>
              <w:t>周）缓解：</w:t>
            </w:r>
            <w:r>
              <w:rPr>
                <w:rFonts w:hint="eastAsia"/>
                <w:sz w:val="21"/>
                <w:szCs w:val="21"/>
              </w:rPr>
              <w:t>P</w:t>
            </w:r>
            <w:r>
              <w:rPr>
                <w:sz w:val="21"/>
                <w:szCs w:val="21"/>
              </w:rPr>
              <w:t>LT</w:t>
            </w:r>
            <w:r>
              <w:rPr>
                <w:rFonts w:ascii="宋体" w:hAnsi="宋体" w:hint="eastAsia"/>
                <w:sz w:val="21"/>
                <w:szCs w:val="21"/>
              </w:rPr>
              <w:t>≤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×</w:t>
            </w: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  <w:vertAlign w:val="superscript"/>
              </w:rPr>
              <w:t>9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L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W</w:t>
            </w:r>
            <w:r>
              <w:rPr>
                <w:sz w:val="21"/>
                <w:szCs w:val="21"/>
              </w:rPr>
              <w:t>BC</w:t>
            </w:r>
            <w:r>
              <w:rPr>
                <w:rFonts w:ascii="宋体" w:hAnsi="宋体" w:hint="eastAsia"/>
                <w:sz w:val="21"/>
                <w:szCs w:val="21"/>
              </w:rPr>
              <w:t>＜</w:t>
            </w: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×</w:t>
            </w: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  <w:vertAlign w:val="superscript"/>
              </w:rPr>
              <w:t>9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L</w:t>
            </w:r>
            <w:r>
              <w:rPr>
                <w:rFonts w:hint="eastAsia"/>
                <w:sz w:val="21"/>
                <w:szCs w:val="21"/>
              </w:rPr>
              <w:t>，无幼粒幼红血象；</w:t>
            </w:r>
          </w:p>
        </w:tc>
      </w:tr>
      <w:tr w:rsidR="00F527E6" w:rsidTr="007C086A">
        <w:tc>
          <w:tcPr>
            <w:tcW w:w="2045" w:type="dxa"/>
          </w:tcPr>
          <w:p w:rsidR="00F527E6" w:rsidRDefault="00F527E6" w:rsidP="00F527E6">
            <w:pPr>
              <w:adjustRightInd w:val="0"/>
              <w:snapToGrid w:val="0"/>
              <w:spacing w:line="400" w:lineRule="exac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602" w:type="dxa"/>
          </w:tcPr>
          <w:p w:rsidR="00F527E6" w:rsidRDefault="0080068E" w:rsidP="00F527E6">
            <w:pPr>
              <w:adjustRightInd w:val="0"/>
              <w:snapToGrid w:val="0"/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③无疾病进展，无任何出血或血栓事件；</w:t>
            </w:r>
          </w:p>
        </w:tc>
      </w:tr>
      <w:tr w:rsidR="00F527E6" w:rsidTr="007C086A">
        <w:tc>
          <w:tcPr>
            <w:tcW w:w="2045" w:type="dxa"/>
          </w:tcPr>
          <w:p w:rsidR="00F527E6" w:rsidRDefault="00F527E6" w:rsidP="00F527E6">
            <w:pPr>
              <w:adjustRightInd w:val="0"/>
              <w:snapToGrid w:val="0"/>
              <w:spacing w:line="400" w:lineRule="exac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602" w:type="dxa"/>
          </w:tcPr>
          <w:p w:rsidR="00F527E6" w:rsidRDefault="0080068E" w:rsidP="00F527E6">
            <w:pPr>
              <w:adjustRightInd w:val="0"/>
              <w:snapToGrid w:val="0"/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④无骨髓组织学缓解，有巨核细胞高度增生</w:t>
            </w:r>
          </w:p>
        </w:tc>
      </w:tr>
      <w:tr w:rsidR="00F527E6" w:rsidTr="007C086A">
        <w:tc>
          <w:tcPr>
            <w:tcW w:w="2045" w:type="dxa"/>
          </w:tcPr>
          <w:p w:rsidR="00F527E6" w:rsidRDefault="0080068E" w:rsidP="00F527E6">
            <w:pPr>
              <w:adjustRightInd w:val="0"/>
              <w:snapToGrid w:val="0"/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无效（</w:t>
            </w:r>
            <w:r>
              <w:rPr>
                <w:rFonts w:hint="eastAsia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>R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602" w:type="dxa"/>
          </w:tcPr>
          <w:p w:rsidR="00F527E6" w:rsidRDefault="0080068E" w:rsidP="00F527E6">
            <w:pPr>
              <w:adjustRightInd w:val="0"/>
              <w:snapToGrid w:val="0"/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疗效没有达到</w:t>
            </w:r>
            <w:r>
              <w:rPr>
                <w:rFonts w:hint="eastAsia"/>
                <w:sz w:val="21"/>
                <w:szCs w:val="21"/>
              </w:rPr>
              <w:t>P</w:t>
            </w:r>
            <w:r>
              <w:rPr>
                <w:sz w:val="21"/>
                <w:szCs w:val="21"/>
              </w:rPr>
              <w:t>R</w:t>
            </w:r>
          </w:p>
        </w:tc>
      </w:tr>
      <w:tr w:rsidR="00F527E6" w:rsidTr="007C086A">
        <w:tc>
          <w:tcPr>
            <w:tcW w:w="2045" w:type="dxa"/>
            <w:tcBorders>
              <w:bottom w:val="single" w:sz="4" w:space="0" w:color="auto"/>
            </w:tcBorders>
          </w:tcPr>
          <w:p w:rsidR="00F527E6" w:rsidRDefault="0080068E" w:rsidP="00F527E6">
            <w:pPr>
              <w:adjustRightInd w:val="0"/>
              <w:snapToGrid w:val="0"/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疾病进展（</w:t>
            </w:r>
            <w:r>
              <w:rPr>
                <w:rFonts w:hint="eastAsia"/>
                <w:sz w:val="21"/>
                <w:szCs w:val="21"/>
              </w:rPr>
              <w:t>P</w:t>
            </w:r>
            <w:r>
              <w:rPr>
                <w:sz w:val="21"/>
                <w:szCs w:val="21"/>
              </w:rPr>
              <w:t>D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602" w:type="dxa"/>
            <w:tcBorders>
              <w:bottom w:val="single" w:sz="4" w:space="0" w:color="auto"/>
            </w:tcBorders>
          </w:tcPr>
          <w:p w:rsidR="00F527E6" w:rsidRDefault="0080068E" w:rsidP="00F527E6">
            <w:pPr>
              <w:adjustRightInd w:val="0"/>
              <w:snapToGrid w:val="0"/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演进为原发性血小板增多症后骨髓纤维化、骨髓增生异常综合征或急性白血病</w:t>
            </w:r>
          </w:p>
        </w:tc>
      </w:tr>
    </w:tbl>
    <w:p w:rsidR="00F527E6" w:rsidRDefault="0080068E" w:rsidP="00B27299">
      <w:pPr>
        <w:adjustRightInd w:val="0"/>
        <w:snapToGrid w:val="0"/>
        <w:spacing w:beforeLines="25" w:line="400" w:lineRule="exact"/>
        <w:rPr>
          <w:rFonts w:ascii="黑体" w:eastAsia="黑体" w:hAnsi="黑体"/>
          <w:sz w:val="20"/>
          <w:szCs w:val="21"/>
        </w:rPr>
      </w:pPr>
      <w:r>
        <w:rPr>
          <w:rFonts w:ascii="黑体" w:eastAsia="黑体" w:hAnsi="黑体" w:hint="eastAsia"/>
          <w:sz w:val="20"/>
          <w:szCs w:val="21"/>
        </w:rPr>
        <w:t>注：M</w:t>
      </w:r>
      <w:r>
        <w:rPr>
          <w:rFonts w:ascii="黑体" w:eastAsia="黑体" w:hAnsi="黑体"/>
          <w:sz w:val="20"/>
          <w:szCs w:val="21"/>
        </w:rPr>
        <w:t>PN-SAF TSS</w:t>
      </w:r>
      <w:r>
        <w:rPr>
          <w:rFonts w:ascii="黑体" w:eastAsia="黑体" w:hAnsi="黑体" w:hint="eastAsia"/>
          <w:sz w:val="20"/>
          <w:szCs w:val="21"/>
        </w:rPr>
        <w:t>：骨髓增殖性肿瘤总症状评估量表</w:t>
      </w:r>
    </w:p>
    <w:p w:rsidR="00F527E6" w:rsidRDefault="0080068E" w:rsidP="007C086A">
      <w:pPr>
        <w:adjustRightInd w:val="0"/>
        <w:snapToGrid w:val="0"/>
        <w:spacing w:before="156" w:after="78" w:line="400" w:lineRule="exact"/>
        <w:ind w:firstLineChars="200" w:firstLine="48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（二）证候疗效</w:t>
      </w:r>
    </w:p>
    <w:p w:rsidR="00F527E6" w:rsidRDefault="0080068E" w:rsidP="00F527E6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</w:rPr>
      </w:pPr>
      <w:r>
        <w:rPr>
          <w:rFonts w:ascii="宋体" w:hAnsi="宋体"/>
        </w:rPr>
        <w:t>参</w:t>
      </w:r>
      <w:r>
        <w:rPr>
          <w:rFonts w:ascii="宋体" w:hAnsi="宋体" w:hint="eastAsia"/>
        </w:rPr>
        <w:t>考</w:t>
      </w:r>
      <w:r>
        <w:rPr>
          <w:rFonts w:ascii="宋体" w:hAnsi="宋体"/>
        </w:rPr>
        <w:t>《中药新药临床研究指导原则（2002版）》</w:t>
      </w:r>
      <w:r>
        <w:rPr>
          <w:rFonts w:ascii="Arial" w:hAnsi="Arial" w:cs="Arial" w:hint="eastAsia"/>
          <w:bCs/>
          <w:color w:val="000000"/>
          <w:kern w:val="36"/>
          <w:vertAlign w:val="superscript"/>
        </w:rPr>
        <w:t>[</w:t>
      </w:r>
      <w:r>
        <w:rPr>
          <w:rFonts w:ascii="Arial" w:hAnsi="Arial" w:cs="Arial"/>
          <w:bCs/>
          <w:color w:val="000000"/>
          <w:kern w:val="36"/>
          <w:vertAlign w:val="superscript"/>
        </w:rPr>
        <w:t>4]</w:t>
      </w:r>
      <w:r>
        <w:rPr>
          <w:rFonts w:ascii="宋体" w:hAnsi="宋体" w:hint="eastAsia"/>
        </w:rPr>
        <w:t>拟定。</w:t>
      </w:r>
    </w:p>
    <w:p w:rsidR="00F527E6" w:rsidRDefault="0080068E" w:rsidP="00F527E6">
      <w:pPr>
        <w:pStyle w:val="ad"/>
        <w:adjustRightInd w:val="0"/>
        <w:snapToGrid w:val="0"/>
        <w:spacing w:line="400" w:lineRule="exact"/>
        <w:ind w:firstLine="480"/>
        <w:jc w:val="left"/>
      </w:pPr>
      <w:r>
        <w:rPr>
          <w:rFonts w:ascii="宋体" w:hAnsi="宋体"/>
        </w:rPr>
        <w:t>1.痊愈</w:t>
      </w:r>
      <w:r>
        <w:rPr>
          <w:rFonts w:ascii="宋体" w:hAnsi="宋体" w:hint="eastAsia"/>
        </w:rPr>
        <w:t>：</w:t>
      </w:r>
      <w:r>
        <w:t>临床症状、体征消失或基本消失，证候积分减少</w:t>
      </w:r>
      <w:r>
        <w:t>≥95%</w:t>
      </w:r>
      <w:r>
        <w:rPr>
          <w:rFonts w:hint="eastAsia"/>
        </w:rPr>
        <w:t>。</w:t>
      </w:r>
    </w:p>
    <w:p w:rsidR="00F527E6" w:rsidRDefault="0080068E" w:rsidP="00F527E6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</w:rPr>
      </w:pPr>
      <w:r>
        <w:rPr>
          <w:rFonts w:ascii="宋体" w:hAnsi="宋体"/>
        </w:rPr>
        <w:t>2.显效</w:t>
      </w:r>
      <w:r>
        <w:rPr>
          <w:rFonts w:ascii="宋体" w:hAnsi="宋体" w:hint="eastAsia"/>
        </w:rPr>
        <w:t>：</w:t>
      </w:r>
      <w:r>
        <w:rPr>
          <w:rFonts w:ascii="宋体" w:hAnsi="宋体"/>
        </w:rPr>
        <w:t>临床症状、体征明显改善，证候积分减少≥70%。</w:t>
      </w:r>
    </w:p>
    <w:p w:rsidR="00F527E6" w:rsidRDefault="0080068E" w:rsidP="00F527E6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</w:rPr>
      </w:pPr>
      <w:r>
        <w:rPr>
          <w:rFonts w:ascii="宋体" w:hAnsi="宋体"/>
        </w:rPr>
        <w:lastRenderedPageBreak/>
        <w:t>3.有效</w:t>
      </w:r>
      <w:r>
        <w:rPr>
          <w:rFonts w:ascii="宋体" w:hAnsi="宋体" w:hint="eastAsia"/>
        </w:rPr>
        <w:t>：</w:t>
      </w:r>
      <w:r>
        <w:rPr>
          <w:rFonts w:ascii="宋体" w:hAnsi="宋体"/>
        </w:rPr>
        <w:t>临床症状、体征均有好转，证候积分减少≥30%。</w:t>
      </w:r>
    </w:p>
    <w:p w:rsidR="00F527E6" w:rsidRDefault="0080068E" w:rsidP="007C086A">
      <w:pPr>
        <w:adjustRightInd w:val="0"/>
        <w:snapToGrid w:val="0"/>
        <w:spacing w:after="78" w:line="400" w:lineRule="exact"/>
        <w:ind w:firstLineChars="200" w:firstLine="480"/>
        <w:jc w:val="left"/>
        <w:rPr>
          <w:rFonts w:ascii="宋体" w:hAnsi="宋体"/>
        </w:rPr>
      </w:pPr>
      <w:r>
        <w:rPr>
          <w:rFonts w:ascii="宋体" w:hAnsi="宋体"/>
        </w:rPr>
        <w:t>4.无效</w:t>
      </w:r>
      <w:r>
        <w:rPr>
          <w:rFonts w:ascii="宋体" w:hAnsi="宋体" w:hint="eastAsia"/>
        </w:rPr>
        <w:t>：</w:t>
      </w:r>
      <w:r>
        <w:rPr>
          <w:rFonts w:ascii="宋体" w:hAnsi="宋体"/>
        </w:rPr>
        <w:t>临床症状、体征无明显改善，证候积分减少不足30%。</w:t>
      </w:r>
    </w:p>
    <w:p w:rsidR="00F527E6" w:rsidRDefault="0080068E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注：</w:t>
      </w:r>
      <w:r>
        <w:rPr>
          <w:rFonts w:ascii="宋体" w:hAnsi="宋体"/>
        </w:rPr>
        <w:t>计算公式：[（治疗前积分</w:t>
      </w:r>
      <w:r>
        <w:rPr>
          <w:rFonts w:ascii="宋体" w:hAnsi="宋体"/>
          <w:shd w:val="clear" w:color="auto" w:fill="FFFFFF"/>
        </w:rPr>
        <w:t>－</w:t>
      </w:r>
      <w:r>
        <w:rPr>
          <w:rFonts w:ascii="宋体" w:hAnsi="宋体"/>
        </w:rPr>
        <w:t>治疗后积分）／治疗前积分] ×100%。</w:t>
      </w:r>
    </w:p>
    <w:p w:rsidR="00F527E6" w:rsidRDefault="00F527E6" w:rsidP="007C086A">
      <w:pPr>
        <w:adjustRightInd w:val="0"/>
        <w:snapToGrid w:val="0"/>
        <w:spacing w:after="78" w:line="400" w:lineRule="exact"/>
        <w:ind w:firstLineChars="200" w:firstLine="480"/>
        <w:jc w:val="left"/>
        <w:rPr>
          <w:rFonts w:ascii="宋体" w:hAnsi="宋体"/>
        </w:rPr>
      </w:pPr>
    </w:p>
    <w:p w:rsidR="00F527E6" w:rsidRPr="000515E7" w:rsidRDefault="0080068E" w:rsidP="00B27299">
      <w:pPr>
        <w:adjustRightInd w:val="0"/>
        <w:snapToGrid w:val="0"/>
        <w:spacing w:beforeLines="25" w:afterLines="25" w:line="320" w:lineRule="exact"/>
        <w:ind w:leftChars="177" w:left="425"/>
        <w:jc w:val="left"/>
        <w:rPr>
          <w:rFonts w:asciiTheme="minorEastAsia" w:eastAsiaTheme="minorEastAsia" w:hAnsiTheme="minorEastAsia"/>
          <w:sz w:val="21"/>
          <w:szCs w:val="21"/>
        </w:rPr>
      </w:pPr>
      <w:r w:rsidRPr="000515E7">
        <w:rPr>
          <w:rFonts w:asciiTheme="minorEastAsia" w:eastAsiaTheme="minorEastAsia" w:hAnsiTheme="minorEastAsia" w:hint="eastAsia"/>
          <w:sz w:val="21"/>
          <w:szCs w:val="21"/>
        </w:rPr>
        <w:t>参考文献</w:t>
      </w:r>
    </w:p>
    <w:p w:rsidR="00F527E6" w:rsidRPr="000515E7" w:rsidRDefault="00F527E6" w:rsidP="00B27299">
      <w:pPr>
        <w:adjustRightInd w:val="0"/>
        <w:snapToGrid w:val="0"/>
        <w:spacing w:line="320" w:lineRule="exact"/>
        <w:ind w:leftChars="177" w:left="425"/>
        <w:rPr>
          <w:rFonts w:ascii="Times New Roman" w:hAnsi="Times New Roman" w:cs="Times New Roman"/>
          <w:sz w:val="21"/>
          <w:szCs w:val="21"/>
        </w:rPr>
      </w:pPr>
      <w:r w:rsidRPr="000515E7">
        <w:rPr>
          <w:rFonts w:ascii="Times New Roman" w:hAnsi="Times New Roman" w:cs="Times New Roman"/>
          <w:sz w:val="21"/>
          <w:szCs w:val="21"/>
        </w:rPr>
        <w:t>[1]Arber D, Orazi A, Hasserjian R, et al. The 2016 revision to the World Health Organization classification of myeloid neoplasms and acute leukemia[J]. Blood 2016;127:2391-2405.</w:t>
      </w:r>
    </w:p>
    <w:p w:rsidR="00F527E6" w:rsidRPr="000515E7" w:rsidRDefault="00F527E6" w:rsidP="00B27299">
      <w:pPr>
        <w:adjustRightInd w:val="0"/>
        <w:snapToGrid w:val="0"/>
        <w:spacing w:line="320" w:lineRule="exact"/>
        <w:ind w:leftChars="177" w:left="425"/>
        <w:rPr>
          <w:rFonts w:ascii="Times New Roman" w:hAnsi="Times New Roman" w:cs="Times New Roman"/>
          <w:sz w:val="21"/>
          <w:szCs w:val="21"/>
        </w:rPr>
      </w:pPr>
      <w:r w:rsidRPr="000515E7">
        <w:rPr>
          <w:rFonts w:ascii="Times New Roman" w:hAnsi="Times New Roman" w:cs="Times New Roman"/>
          <w:sz w:val="21"/>
          <w:szCs w:val="21"/>
        </w:rPr>
        <w:t>[2]</w:t>
      </w:r>
      <w:r w:rsidRPr="000515E7">
        <w:rPr>
          <w:rFonts w:ascii="Times New Roman" w:hAnsi="宋体" w:cs="Times New Roman"/>
          <w:sz w:val="21"/>
          <w:szCs w:val="21"/>
        </w:rPr>
        <w:t>葛志红，李达</w:t>
      </w:r>
      <w:r w:rsidRPr="000515E7">
        <w:rPr>
          <w:rFonts w:ascii="Times New Roman" w:hAnsi="Times New Roman" w:cs="Times New Roman"/>
          <w:sz w:val="21"/>
          <w:szCs w:val="21"/>
        </w:rPr>
        <w:t>.</w:t>
      </w:r>
      <w:r w:rsidRPr="000515E7">
        <w:rPr>
          <w:rFonts w:ascii="Times New Roman" w:hAnsi="宋体" w:cs="Times New Roman"/>
          <w:sz w:val="21"/>
          <w:szCs w:val="21"/>
        </w:rPr>
        <w:t>血液科专病中医临床诊治</w:t>
      </w:r>
      <w:r w:rsidRPr="000515E7">
        <w:rPr>
          <w:rFonts w:ascii="Times New Roman" w:hAnsi="Times New Roman" w:cs="Times New Roman"/>
          <w:sz w:val="21"/>
          <w:szCs w:val="21"/>
        </w:rPr>
        <w:t>[M].</w:t>
      </w:r>
      <w:r w:rsidRPr="000515E7">
        <w:rPr>
          <w:rFonts w:ascii="Times New Roman" w:hAnsi="宋体" w:cs="Times New Roman"/>
          <w:sz w:val="21"/>
          <w:szCs w:val="21"/>
        </w:rPr>
        <w:t>北京</w:t>
      </w:r>
      <w:r w:rsidRPr="000515E7">
        <w:rPr>
          <w:rFonts w:ascii="Times New Roman" w:hAnsi="Times New Roman" w:cs="Times New Roman"/>
          <w:sz w:val="21"/>
          <w:szCs w:val="21"/>
        </w:rPr>
        <w:t>:</w:t>
      </w:r>
      <w:r w:rsidRPr="000515E7">
        <w:rPr>
          <w:rFonts w:ascii="Times New Roman" w:hAnsi="宋体" w:cs="Times New Roman"/>
          <w:sz w:val="21"/>
          <w:szCs w:val="21"/>
        </w:rPr>
        <w:t>人民卫生出版社，</w:t>
      </w:r>
      <w:r w:rsidRPr="000515E7">
        <w:rPr>
          <w:rFonts w:ascii="Times New Roman" w:hAnsi="Times New Roman" w:cs="Times New Roman"/>
          <w:sz w:val="21"/>
          <w:szCs w:val="21"/>
        </w:rPr>
        <w:t>2013,154</w:t>
      </w:r>
    </w:p>
    <w:p w:rsidR="00F527E6" w:rsidRPr="000515E7" w:rsidRDefault="00F527E6" w:rsidP="00B27299">
      <w:pPr>
        <w:adjustRightInd w:val="0"/>
        <w:snapToGrid w:val="0"/>
        <w:spacing w:line="320" w:lineRule="exact"/>
        <w:ind w:leftChars="177" w:left="425"/>
        <w:rPr>
          <w:rFonts w:ascii="Times New Roman" w:hAnsi="Times New Roman" w:cs="Times New Roman"/>
          <w:sz w:val="21"/>
          <w:szCs w:val="21"/>
        </w:rPr>
      </w:pPr>
      <w:r w:rsidRPr="000515E7">
        <w:rPr>
          <w:rFonts w:ascii="Times New Roman" w:hAnsi="Times New Roman" w:cs="Times New Roman"/>
          <w:sz w:val="21"/>
          <w:szCs w:val="21"/>
        </w:rPr>
        <w:t>[3]</w:t>
      </w:r>
      <w:r w:rsidRPr="000515E7">
        <w:rPr>
          <w:rFonts w:ascii="Times New Roman" w:hAnsi="宋体" w:cs="Times New Roman"/>
          <w:sz w:val="21"/>
          <w:szCs w:val="21"/>
        </w:rPr>
        <w:t>中华中医药学会血液病分会</w:t>
      </w:r>
      <w:r w:rsidRPr="000515E7">
        <w:rPr>
          <w:rFonts w:ascii="Times New Roman" w:hAnsi="Times New Roman" w:cs="Times New Roman"/>
          <w:sz w:val="21"/>
          <w:szCs w:val="21"/>
        </w:rPr>
        <w:t>.</w:t>
      </w:r>
      <w:r w:rsidRPr="000515E7">
        <w:rPr>
          <w:rFonts w:ascii="Times New Roman" w:hAnsi="宋体" w:cs="Times New Roman"/>
          <w:bCs/>
          <w:color w:val="000000"/>
          <w:kern w:val="36"/>
          <w:sz w:val="21"/>
          <w:szCs w:val="21"/>
        </w:rPr>
        <w:t>原发性血小板增多症诊断与治疗中国专家共识</w:t>
      </w:r>
      <w:r w:rsidRPr="000515E7">
        <w:rPr>
          <w:rFonts w:ascii="Times New Roman" w:hAnsi="Times New Roman" w:cs="Times New Roman"/>
          <w:bCs/>
          <w:color w:val="000000"/>
          <w:kern w:val="36"/>
          <w:sz w:val="21"/>
          <w:szCs w:val="21"/>
        </w:rPr>
        <w:t>(2016</w:t>
      </w:r>
      <w:r w:rsidRPr="000515E7">
        <w:rPr>
          <w:rFonts w:ascii="Times New Roman" w:hAnsi="宋体" w:cs="Times New Roman"/>
          <w:bCs/>
          <w:color w:val="000000"/>
          <w:kern w:val="36"/>
          <w:sz w:val="21"/>
          <w:szCs w:val="21"/>
        </w:rPr>
        <w:t>年版</w:t>
      </w:r>
      <w:r w:rsidRPr="000515E7">
        <w:rPr>
          <w:rFonts w:ascii="Times New Roman" w:hAnsi="Times New Roman" w:cs="Times New Roman"/>
          <w:bCs/>
          <w:color w:val="000000"/>
          <w:kern w:val="36"/>
          <w:sz w:val="21"/>
          <w:szCs w:val="21"/>
        </w:rPr>
        <w:t>)</w:t>
      </w:r>
      <w:r w:rsidRPr="000515E7">
        <w:rPr>
          <w:rFonts w:ascii="Times New Roman" w:hAnsi="Times New Roman" w:cs="Times New Roman"/>
          <w:sz w:val="21"/>
          <w:szCs w:val="21"/>
        </w:rPr>
        <w:t>[J].</w:t>
      </w:r>
      <w:r w:rsidRPr="000515E7">
        <w:rPr>
          <w:rFonts w:ascii="Times New Roman" w:hAnsi="宋体" w:cs="Times New Roman"/>
          <w:sz w:val="21"/>
          <w:szCs w:val="21"/>
        </w:rPr>
        <w:t>中华血液学杂志，</w:t>
      </w:r>
      <w:r w:rsidRPr="000515E7">
        <w:rPr>
          <w:rFonts w:ascii="Times New Roman" w:hAnsi="Times New Roman" w:cs="Times New Roman"/>
          <w:sz w:val="21"/>
          <w:szCs w:val="21"/>
        </w:rPr>
        <w:t>2016,37</w:t>
      </w:r>
      <w:r w:rsidRPr="000515E7">
        <w:rPr>
          <w:rFonts w:ascii="Times New Roman" w:hAnsi="宋体" w:cs="Times New Roman"/>
          <w:sz w:val="21"/>
          <w:szCs w:val="21"/>
        </w:rPr>
        <w:t>（</w:t>
      </w:r>
      <w:r w:rsidRPr="000515E7">
        <w:rPr>
          <w:rFonts w:ascii="Times New Roman" w:hAnsi="Times New Roman" w:cs="Times New Roman"/>
          <w:sz w:val="21"/>
          <w:szCs w:val="21"/>
        </w:rPr>
        <w:t>10</w:t>
      </w:r>
      <w:r w:rsidRPr="000515E7">
        <w:rPr>
          <w:rFonts w:ascii="Times New Roman" w:hAnsi="宋体" w:cs="Times New Roman"/>
          <w:sz w:val="21"/>
          <w:szCs w:val="21"/>
        </w:rPr>
        <w:t>）：</w:t>
      </w:r>
      <w:r w:rsidRPr="000515E7">
        <w:rPr>
          <w:rFonts w:ascii="Times New Roman" w:hAnsi="Times New Roman" w:cs="Times New Roman"/>
          <w:sz w:val="21"/>
          <w:szCs w:val="21"/>
        </w:rPr>
        <w:t>833-835</w:t>
      </w:r>
    </w:p>
    <w:p w:rsidR="00F527E6" w:rsidRPr="000515E7" w:rsidRDefault="00F527E6" w:rsidP="00B27299">
      <w:pPr>
        <w:adjustRightInd w:val="0"/>
        <w:snapToGrid w:val="0"/>
        <w:spacing w:line="320" w:lineRule="exact"/>
        <w:ind w:leftChars="177" w:left="425"/>
        <w:rPr>
          <w:rFonts w:ascii="Times New Roman" w:hAnsi="Times New Roman" w:cs="Times New Roman"/>
          <w:sz w:val="21"/>
          <w:szCs w:val="21"/>
        </w:rPr>
      </w:pPr>
      <w:r w:rsidRPr="000515E7">
        <w:rPr>
          <w:rFonts w:ascii="Times New Roman" w:hAnsi="Times New Roman" w:cs="Times New Roman"/>
          <w:sz w:val="21"/>
          <w:szCs w:val="21"/>
        </w:rPr>
        <w:t>[4]</w:t>
      </w:r>
      <w:r w:rsidRPr="000515E7">
        <w:rPr>
          <w:rFonts w:ascii="Times New Roman" w:hAnsi="宋体" w:cs="Times New Roman"/>
          <w:sz w:val="21"/>
          <w:szCs w:val="21"/>
        </w:rPr>
        <w:t>郑筱萸</w:t>
      </w:r>
      <w:r w:rsidRPr="000515E7">
        <w:rPr>
          <w:rFonts w:ascii="Times New Roman" w:hAnsi="Times New Roman" w:cs="Times New Roman"/>
          <w:sz w:val="21"/>
          <w:szCs w:val="21"/>
        </w:rPr>
        <w:t>.</w:t>
      </w:r>
      <w:r w:rsidRPr="000515E7">
        <w:rPr>
          <w:rFonts w:ascii="Times New Roman" w:hAnsi="宋体" w:cs="Times New Roman"/>
          <w:sz w:val="21"/>
          <w:szCs w:val="21"/>
        </w:rPr>
        <w:t>中药新药临床研究指导原则</w:t>
      </w:r>
      <w:r w:rsidRPr="000515E7">
        <w:rPr>
          <w:rFonts w:ascii="Times New Roman" w:hAnsi="Times New Roman" w:cs="Times New Roman"/>
          <w:sz w:val="21"/>
          <w:szCs w:val="21"/>
        </w:rPr>
        <w:t>[M].</w:t>
      </w:r>
      <w:r w:rsidRPr="000515E7">
        <w:rPr>
          <w:rFonts w:ascii="Times New Roman" w:hAnsi="宋体" w:cs="Times New Roman"/>
          <w:sz w:val="21"/>
          <w:szCs w:val="21"/>
        </w:rPr>
        <w:t>中国医药科技出版社，</w:t>
      </w:r>
      <w:r w:rsidRPr="000515E7">
        <w:rPr>
          <w:rFonts w:ascii="Times New Roman" w:hAnsi="Times New Roman" w:cs="Times New Roman"/>
          <w:sz w:val="21"/>
          <w:szCs w:val="21"/>
        </w:rPr>
        <w:t>2002:173-180</w:t>
      </w:r>
    </w:p>
    <w:p w:rsidR="00F527E6" w:rsidRPr="000515E7" w:rsidRDefault="00F527E6" w:rsidP="007C086A">
      <w:pPr>
        <w:spacing w:line="400" w:lineRule="exact"/>
        <w:ind w:leftChars="177" w:left="425"/>
        <w:rPr>
          <w:rFonts w:ascii="Times New Roman" w:hAnsi="Times New Roman" w:cs="Times New Roman"/>
        </w:rPr>
      </w:pPr>
      <w:bookmarkStart w:id="0" w:name="_Hlt204056050"/>
      <w:bookmarkEnd w:id="0"/>
    </w:p>
    <w:p w:rsidR="00F527E6" w:rsidRPr="007C086A" w:rsidRDefault="00F527E6" w:rsidP="007C086A">
      <w:pPr>
        <w:adjustRightInd w:val="0"/>
        <w:snapToGrid w:val="0"/>
        <w:spacing w:line="400" w:lineRule="exact"/>
        <w:ind w:leftChars="177" w:left="425" w:right="600"/>
      </w:pPr>
      <w:r w:rsidRPr="007C086A">
        <w:rPr>
          <w:rFonts w:hint="eastAsia"/>
        </w:rPr>
        <w:t>牵头分会：</w:t>
      </w:r>
      <w:r w:rsidR="0080068E" w:rsidRPr="007C086A">
        <w:rPr>
          <w:rFonts w:hint="eastAsia"/>
        </w:rPr>
        <w:t>中华中医药学会血液病分会</w:t>
      </w:r>
    </w:p>
    <w:p w:rsidR="00F527E6" w:rsidRPr="007C086A" w:rsidRDefault="00F527E6" w:rsidP="007C086A">
      <w:pPr>
        <w:adjustRightInd w:val="0"/>
        <w:snapToGrid w:val="0"/>
        <w:spacing w:line="400" w:lineRule="exact"/>
        <w:ind w:leftChars="177" w:left="425" w:right="600"/>
      </w:pPr>
      <w:r w:rsidRPr="007C086A">
        <w:rPr>
          <w:rFonts w:hint="eastAsia"/>
        </w:rPr>
        <w:t>牵</w:t>
      </w:r>
      <w:r w:rsidR="007C086A">
        <w:rPr>
          <w:rFonts w:hint="eastAsia"/>
        </w:rPr>
        <w:t xml:space="preserve"> </w:t>
      </w:r>
      <w:r w:rsidRPr="007C086A">
        <w:rPr>
          <w:rFonts w:hint="eastAsia"/>
        </w:rPr>
        <w:t>头</w:t>
      </w:r>
      <w:r w:rsidR="007C086A">
        <w:rPr>
          <w:rFonts w:hint="eastAsia"/>
        </w:rPr>
        <w:t xml:space="preserve"> </w:t>
      </w:r>
      <w:r w:rsidRPr="007C086A">
        <w:rPr>
          <w:rFonts w:hint="eastAsia"/>
        </w:rPr>
        <w:t>人：</w:t>
      </w:r>
      <w:r w:rsidR="0080068E" w:rsidRPr="007C086A">
        <w:rPr>
          <w:rFonts w:hint="eastAsia"/>
        </w:rPr>
        <w:t>陈志雄（广州中医药大学第一附属医院）</w:t>
      </w:r>
    </w:p>
    <w:p w:rsidR="00F527E6" w:rsidRPr="007C086A" w:rsidRDefault="00F527E6" w:rsidP="007C086A">
      <w:pPr>
        <w:adjustRightInd w:val="0"/>
        <w:snapToGrid w:val="0"/>
        <w:spacing w:line="400" w:lineRule="exact"/>
        <w:ind w:leftChars="177" w:left="425" w:right="600"/>
      </w:pPr>
      <w:r w:rsidRPr="007C086A">
        <w:rPr>
          <w:rFonts w:hint="eastAsia"/>
        </w:rPr>
        <w:t>主要完成人：</w:t>
      </w:r>
    </w:p>
    <w:p w:rsidR="00F527E6" w:rsidRPr="007C086A" w:rsidRDefault="00F527E6" w:rsidP="007C086A">
      <w:pPr>
        <w:adjustRightInd w:val="0"/>
        <w:snapToGrid w:val="0"/>
        <w:spacing w:line="400" w:lineRule="exact"/>
        <w:ind w:leftChars="177" w:left="425" w:right="600" w:firstLineChars="450" w:firstLine="1080"/>
      </w:pPr>
      <w:r w:rsidRPr="007C086A">
        <w:rPr>
          <w:rFonts w:hint="eastAsia"/>
        </w:rPr>
        <w:t>陈志雄（广州中医药大学第一附属医院）</w:t>
      </w:r>
    </w:p>
    <w:p w:rsidR="00F527E6" w:rsidRPr="007C086A" w:rsidRDefault="0080068E" w:rsidP="007C086A">
      <w:pPr>
        <w:adjustRightInd w:val="0"/>
        <w:snapToGrid w:val="0"/>
        <w:spacing w:line="400" w:lineRule="exact"/>
        <w:ind w:leftChars="177" w:left="425" w:right="600" w:firstLineChars="450" w:firstLine="1080"/>
      </w:pPr>
      <w:r w:rsidRPr="007C086A">
        <w:rPr>
          <w:rFonts w:ascii="宋体" w:hint="eastAsia"/>
        </w:rPr>
        <w:t>蓝</w:t>
      </w:r>
      <w:r w:rsidR="000515E7">
        <w:rPr>
          <w:rFonts w:ascii="宋体" w:hint="eastAsia"/>
        </w:rPr>
        <w:t xml:space="preserve">  </w:t>
      </w:r>
      <w:r w:rsidRPr="007C086A">
        <w:rPr>
          <w:rFonts w:ascii="宋体" w:hint="eastAsia"/>
        </w:rPr>
        <w:t>海</w:t>
      </w:r>
      <w:r w:rsidRPr="007C086A">
        <w:rPr>
          <w:rFonts w:hint="eastAsia"/>
        </w:rPr>
        <w:t>（</w:t>
      </w:r>
      <w:r w:rsidRPr="007C086A">
        <w:rPr>
          <w:rFonts w:ascii="宋体" w:hAnsi="宋体" w:hint="eastAsia"/>
        </w:rPr>
        <w:t>广州中医药大学第一附属医院</w:t>
      </w:r>
      <w:r w:rsidRPr="007C086A">
        <w:rPr>
          <w:rFonts w:hint="eastAsia"/>
        </w:rPr>
        <w:t>）</w:t>
      </w:r>
    </w:p>
    <w:p w:rsidR="00F527E6" w:rsidRPr="007C086A" w:rsidRDefault="0080068E" w:rsidP="007C086A">
      <w:pPr>
        <w:adjustRightInd w:val="0"/>
        <w:snapToGrid w:val="0"/>
        <w:spacing w:line="400" w:lineRule="exact"/>
        <w:ind w:leftChars="177" w:left="425" w:firstLineChars="450" w:firstLine="1080"/>
      </w:pPr>
      <w:r w:rsidRPr="007C086A">
        <w:rPr>
          <w:rFonts w:ascii="宋体" w:hint="eastAsia"/>
        </w:rPr>
        <w:t>古学奎</w:t>
      </w:r>
      <w:r w:rsidRPr="007C086A">
        <w:rPr>
          <w:rFonts w:hint="eastAsia"/>
        </w:rPr>
        <w:t>（</w:t>
      </w:r>
      <w:r w:rsidRPr="007C086A">
        <w:rPr>
          <w:rFonts w:ascii="宋体" w:hAnsi="宋体" w:hint="eastAsia"/>
        </w:rPr>
        <w:t>广州中医药大学第</w:t>
      </w:r>
      <w:bookmarkStart w:id="1" w:name="_GoBack"/>
      <w:bookmarkEnd w:id="1"/>
      <w:r w:rsidRPr="007C086A">
        <w:rPr>
          <w:rFonts w:ascii="宋体" w:hAnsi="宋体" w:hint="eastAsia"/>
        </w:rPr>
        <w:t>一附属医院</w:t>
      </w:r>
      <w:r w:rsidRPr="007C086A">
        <w:rPr>
          <w:rFonts w:hint="eastAsia"/>
        </w:rPr>
        <w:t>）</w:t>
      </w:r>
    </w:p>
    <w:p w:rsidR="00F527E6" w:rsidRPr="007C086A" w:rsidRDefault="0080068E" w:rsidP="007C086A">
      <w:pPr>
        <w:spacing w:line="400" w:lineRule="exact"/>
        <w:ind w:leftChars="177" w:left="425" w:firstLineChars="450" w:firstLine="1080"/>
      </w:pPr>
      <w:r w:rsidRPr="007C086A">
        <w:rPr>
          <w:rFonts w:hint="eastAsia"/>
        </w:rPr>
        <w:t>陈信义（北京中医药大学东直门医院）</w:t>
      </w:r>
    </w:p>
    <w:p w:rsidR="00F527E6" w:rsidRPr="007C086A" w:rsidRDefault="0080068E" w:rsidP="007C086A">
      <w:pPr>
        <w:spacing w:line="400" w:lineRule="exact"/>
        <w:ind w:leftChars="177" w:left="425" w:firstLineChars="450" w:firstLine="1080"/>
      </w:pPr>
      <w:r w:rsidRPr="007C086A">
        <w:rPr>
          <w:rFonts w:hint="eastAsia"/>
        </w:rPr>
        <w:t>孙伟正（黑龙江中医药大学第一附属医院）</w:t>
      </w:r>
    </w:p>
    <w:p w:rsidR="00F527E6" w:rsidRDefault="00F527E6">
      <w:pPr>
        <w:spacing w:line="400" w:lineRule="exact"/>
        <w:rPr>
          <w:rFonts w:ascii="宋体" w:hAnsi="宋体"/>
        </w:rPr>
      </w:pPr>
    </w:p>
    <w:p w:rsidR="00F527E6" w:rsidRDefault="00F527E6" w:rsidP="00F527E6">
      <w:pPr>
        <w:adjustRightInd w:val="0"/>
        <w:snapToGrid w:val="0"/>
        <w:spacing w:line="400" w:lineRule="exact"/>
      </w:pPr>
    </w:p>
    <w:sectPr w:rsidR="00F527E6" w:rsidSect="007C086A">
      <w:pgSz w:w="11906" w:h="16838"/>
      <w:pgMar w:top="1440" w:right="1797" w:bottom="1440" w:left="1797" w:header="851" w:footer="992" w:gutter="0"/>
      <w:cols w:space="720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E27" w:rsidRDefault="000F7E27" w:rsidP="007C086A">
      <w:r>
        <w:separator/>
      </w:r>
    </w:p>
  </w:endnote>
  <w:endnote w:type="continuationSeparator" w:id="1">
    <w:p w:rsidR="000F7E27" w:rsidRDefault="000F7E27" w:rsidP="007C0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E27" w:rsidRDefault="000F7E27" w:rsidP="007C086A">
      <w:r>
        <w:separator/>
      </w:r>
    </w:p>
  </w:footnote>
  <w:footnote w:type="continuationSeparator" w:id="1">
    <w:p w:rsidR="000F7E27" w:rsidRDefault="000F7E27" w:rsidP="007C086A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qiuyi">
    <w15:presenceInfo w15:providerId="None" w15:userId="qiuyi"/>
  </w15:person>
  <w15:person w15:author="Feng Luda">
    <w15:presenceInfo w15:providerId="None" w15:userId="Feng Luda"/>
  </w15:person>
  <w15:person w15:author="CQY">
    <w15:presenceInfo w15:providerId="None" w15:userId="CQY"/>
  </w15:person>
  <w15:person w15:author="京城 大雪">
    <w15:presenceInfo w15:providerId="None" w15:userId="京城 大雪"/>
  </w15:person>
  <w15:person w15:author="许 亚梅">
    <w15:presenceInfo w15:providerId="None" w15:userId="许 亚梅"/>
  </w15:person>
  <w15:person w15:author="lenovo">
    <w15:presenceInfo w15:providerId="None" w15:userId="lenovo"/>
  </w15:person>
  <w15:person w15:author="liu">
    <w15:presenceInfo w15:providerId="None" w15:userId="liu"/>
  </w15:person>
  <w15:person w15:author="admin">
    <w15:presenceInfo w15:providerId="None" w15:userId="adm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7C27"/>
    <w:rsid w:val="000401AC"/>
    <w:rsid w:val="000515E7"/>
    <w:rsid w:val="00077531"/>
    <w:rsid w:val="0008064D"/>
    <w:rsid w:val="000F7E27"/>
    <w:rsid w:val="0012734A"/>
    <w:rsid w:val="0013260F"/>
    <w:rsid w:val="00163D12"/>
    <w:rsid w:val="0016447A"/>
    <w:rsid w:val="00171C4D"/>
    <w:rsid w:val="001B4C42"/>
    <w:rsid w:val="001F04C4"/>
    <w:rsid w:val="0021090C"/>
    <w:rsid w:val="00211A5A"/>
    <w:rsid w:val="002127CA"/>
    <w:rsid w:val="00275C05"/>
    <w:rsid w:val="00275F99"/>
    <w:rsid w:val="00296719"/>
    <w:rsid w:val="002B1A54"/>
    <w:rsid w:val="002D4D51"/>
    <w:rsid w:val="002E7604"/>
    <w:rsid w:val="002F4D77"/>
    <w:rsid w:val="00316D20"/>
    <w:rsid w:val="0032173D"/>
    <w:rsid w:val="00325436"/>
    <w:rsid w:val="00394FB0"/>
    <w:rsid w:val="00396829"/>
    <w:rsid w:val="003D513D"/>
    <w:rsid w:val="00400E4B"/>
    <w:rsid w:val="0040748F"/>
    <w:rsid w:val="00425200"/>
    <w:rsid w:val="00426CD0"/>
    <w:rsid w:val="0043301B"/>
    <w:rsid w:val="0046534D"/>
    <w:rsid w:val="004B03FD"/>
    <w:rsid w:val="004E7056"/>
    <w:rsid w:val="005C6CFC"/>
    <w:rsid w:val="005E4B39"/>
    <w:rsid w:val="00603D0E"/>
    <w:rsid w:val="00642FD6"/>
    <w:rsid w:val="00656C14"/>
    <w:rsid w:val="00741418"/>
    <w:rsid w:val="00746450"/>
    <w:rsid w:val="0079019B"/>
    <w:rsid w:val="007C086A"/>
    <w:rsid w:val="007F3572"/>
    <w:rsid w:val="007F6906"/>
    <w:rsid w:val="0080068E"/>
    <w:rsid w:val="008100B8"/>
    <w:rsid w:val="0083614D"/>
    <w:rsid w:val="008421D0"/>
    <w:rsid w:val="008B65B8"/>
    <w:rsid w:val="008E0052"/>
    <w:rsid w:val="00947827"/>
    <w:rsid w:val="00954276"/>
    <w:rsid w:val="00962659"/>
    <w:rsid w:val="00966B64"/>
    <w:rsid w:val="009834FF"/>
    <w:rsid w:val="00996117"/>
    <w:rsid w:val="009C5989"/>
    <w:rsid w:val="009D1160"/>
    <w:rsid w:val="009E65E1"/>
    <w:rsid w:val="00A633B0"/>
    <w:rsid w:val="00A70E27"/>
    <w:rsid w:val="00A71D78"/>
    <w:rsid w:val="00A826DC"/>
    <w:rsid w:val="00AF343F"/>
    <w:rsid w:val="00B22A4E"/>
    <w:rsid w:val="00B27299"/>
    <w:rsid w:val="00B3414F"/>
    <w:rsid w:val="00B406BA"/>
    <w:rsid w:val="00BA005A"/>
    <w:rsid w:val="00BB7B48"/>
    <w:rsid w:val="00BD2970"/>
    <w:rsid w:val="00C0383D"/>
    <w:rsid w:val="00C12FB9"/>
    <w:rsid w:val="00C167CA"/>
    <w:rsid w:val="00C214F3"/>
    <w:rsid w:val="00C448F4"/>
    <w:rsid w:val="00C62246"/>
    <w:rsid w:val="00CA7A63"/>
    <w:rsid w:val="00CE068A"/>
    <w:rsid w:val="00D14151"/>
    <w:rsid w:val="00D43CB9"/>
    <w:rsid w:val="00D76E50"/>
    <w:rsid w:val="00DB4941"/>
    <w:rsid w:val="00DD2015"/>
    <w:rsid w:val="00DD42AD"/>
    <w:rsid w:val="00E12B04"/>
    <w:rsid w:val="00EB0113"/>
    <w:rsid w:val="00ED5A4F"/>
    <w:rsid w:val="00ED6DE0"/>
    <w:rsid w:val="00EF7B91"/>
    <w:rsid w:val="00EF7C27"/>
    <w:rsid w:val="00F14CB6"/>
    <w:rsid w:val="00F219ED"/>
    <w:rsid w:val="00F37CFB"/>
    <w:rsid w:val="00F527E6"/>
    <w:rsid w:val="00F6319A"/>
    <w:rsid w:val="00F80FA1"/>
    <w:rsid w:val="00F849EF"/>
    <w:rsid w:val="00FC5120"/>
    <w:rsid w:val="00FD45BF"/>
    <w:rsid w:val="2146711B"/>
    <w:rsid w:val="34235A24"/>
    <w:rsid w:val="7A2B2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宋体" w:hAnsi="Cambria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/>
    <w:lsdException w:name="header" w:semiHidden="0" w:uiPriority="0" w:unhideWhenUsed="0" w:qFormat="1"/>
    <w:lsdException w:name="footer" w:semiHidden="0" w:unhideWhenUsed="0"/>
    <w:lsdException w:name="caption" w:uiPriority="35" w:qFormat="1"/>
    <w:lsdException w:name="annotation reference" w:semiHidden="0" w:unhideWhenUsed="0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annotation subject" w:semiHidden="0" w:unhideWhenUsed="0" w:qFormat="1"/>
    <w:lsdException w:name="Balloon Text" w:semiHidden="0" w:unhideWhenUsed="0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7E6"/>
    <w:pPr>
      <w:widowControl w:val="0"/>
      <w:jc w:val="both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F527E6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qFormat/>
    <w:rsid w:val="00F527E6"/>
    <w:rPr>
      <w:b/>
      <w:bCs/>
    </w:rPr>
  </w:style>
  <w:style w:type="paragraph" w:styleId="a4">
    <w:name w:val="annotation text"/>
    <w:basedOn w:val="a"/>
    <w:link w:val="Char0"/>
    <w:uiPriority w:val="99"/>
    <w:rsid w:val="00F527E6"/>
    <w:pPr>
      <w:jc w:val="left"/>
    </w:pPr>
  </w:style>
  <w:style w:type="paragraph" w:styleId="a5">
    <w:name w:val="Body Text Indent"/>
    <w:basedOn w:val="a"/>
    <w:link w:val="Char1"/>
    <w:rsid w:val="00F527E6"/>
    <w:pPr>
      <w:spacing w:after="120"/>
      <w:ind w:leftChars="200" w:left="420"/>
    </w:pPr>
    <w:rPr>
      <w:rFonts w:ascii="Times New Roman" w:hAnsi="Times New Roman" w:cs="Times New Roman"/>
    </w:rPr>
  </w:style>
  <w:style w:type="paragraph" w:styleId="a6">
    <w:name w:val="Plain Text"/>
    <w:basedOn w:val="a"/>
    <w:link w:val="Char2"/>
    <w:rsid w:val="00F527E6"/>
    <w:rPr>
      <w:rFonts w:ascii="宋体" w:hAnsi="Courier New" w:cs="Courier New"/>
      <w:sz w:val="21"/>
      <w:szCs w:val="21"/>
    </w:rPr>
  </w:style>
  <w:style w:type="paragraph" w:styleId="a7">
    <w:name w:val="Balloon Text"/>
    <w:basedOn w:val="a"/>
    <w:link w:val="Char3"/>
    <w:uiPriority w:val="99"/>
    <w:rsid w:val="00F527E6"/>
    <w:rPr>
      <w:sz w:val="18"/>
      <w:szCs w:val="18"/>
    </w:rPr>
  </w:style>
  <w:style w:type="paragraph" w:styleId="a8">
    <w:name w:val="footer"/>
    <w:basedOn w:val="a"/>
    <w:link w:val="Char4"/>
    <w:uiPriority w:val="99"/>
    <w:rsid w:val="00F527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10"/>
    <w:qFormat/>
    <w:rsid w:val="00F52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F527E6"/>
    <w:rPr>
      <w:color w:val="0000FF"/>
      <w:u w:val="single"/>
    </w:rPr>
  </w:style>
  <w:style w:type="character" w:styleId="ab">
    <w:name w:val="annotation reference"/>
    <w:basedOn w:val="a0"/>
    <w:uiPriority w:val="99"/>
    <w:rsid w:val="00F527E6"/>
    <w:rPr>
      <w:sz w:val="21"/>
      <w:szCs w:val="21"/>
    </w:rPr>
  </w:style>
  <w:style w:type="table" w:styleId="ac">
    <w:name w:val="Table Grid"/>
    <w:basedOn w:val="a1"/>
    <w:uiPriority w:val="59"/>
    <w:rsid w:val="00F527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527E6"/>
    <w:pPr>
      <w:ind w:firstLineChars="200" w:firstLine="420"/>
    </w:pPr>
  </w:style>
  <w:style w:type="character" w:customStyle="1" w:styleId="Char3">
    <w:name w:val="批注框文本 Char"/>
    <w:basedOn w:val="a0"/>
    <w:link w:val="a7"/>
    <w:uiPriority w:val="99"/>
    <w:rsid w:val="00F527E6"/>
    <w:rPr>
      <w:sz w:val="18"/>
      <w:szCs w:val="18"/>
    </w:rPr>
  </w:style>
  <w:style w:type="character" w:customStyle="1" w:styleId="Char10">
    <w:name w:val="页眉 Char1"/>
    <w:basedOn w:val="a0"/>
    <w:link w:val="a9"/>
    <w:uiPriority w:val="99"/>
    <w:qFormat/>
    <w:rsid w:val="00F527E6"/>
    <w:rPr>
      <w:sz w:val="18"/>
      <w:szCs w:val="18"/>
    </w:rPr>
  </w:style>
  <w:style w:type="character" w:customStyle="1" w:styleId="Char4">
    <w:name w:val="页脚 Char"/>
    <w:basedOn w:val="a0"/>
    <w:link w:val="a8"/>
    <w:uiPriority w:val="99"/>
    <w:rsid w:val="00F527E6"/>
    <w:rPr>
      <w:sz w:val="18"/>
      <w:szCs w:val="18"/>
    </w:rPr>
  </w:style>
  <w:style w:type="character" w:customStyle="1" w:styleId="Char5">
    <w:name w:val="页眉 Char"/>
    <w:rsid w:val="00F527E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2">
    <w:name w:val="纯文本 Char"/>
    <w:link w:val="a6"/>
    <w:rsid w:val="00F527E6"/>
    <w:rPr>
      <w:rFonts w:ascii="宋体" w:hAnsi="Courier New" w:cs="Courier New"/>
      <w:sz w:val="21"/>
      <w:szCs w:val="21"/>
    </w:rPr>
  </w:style>
  <w:style w:type="character" w:customStyle="1" w:styleId="ae">
    <w:name w:val="纯文本 字符"/>
    <w:basedOn w:val="a0"/>
    <w:uiPriority w:val="99"/>
    <w:rsid w:val="00F527E6"/>
    <w:rPr>
      <w:rFonts w:ascii="宋体" w:eastAsia="宋体" w:hAnsi="Courier New" w:cs="Courier New"/>
    </w:rPr>
  </w:style>
  <w:style w:type="character" w:customStyle="1" w:styleId="Char1">
    <w:name w:val="正文文本缩进 Char"/>
    <w:link w:val="a5"/>
    <w:qFormat/>
    <w:rsid w:val="00F527E6"/>
    <w:rPr>
      <w:rFonts w:ascii="Times New Roman" w:hAnsi="Times New Roman" w:cs="Times New Roman"/>
    </w:rPr>
  </w:style>
  <w:style w:type="character" w:customStyle="1" w:styleId="af">
    <w:name w:val="正文文本缩进 字符"/>
    <w:basedOn w:val="a0"/>
    <w:uiPriority w:val="99"/>
    <w:rsid w:val="00F527E6"/>
  </w:style>
  <w:style w:type="paragraph" w:styleId="af0">
    <w:name w:val="No Spacing"/>
    <w:uiPriority w:val="1"/>
    <w:qFormat/>
    <w:rsid w:val="00F527E6"/>
    <w:pPr>
      <w:widowControl w:val="0"/>
      <w:jc w:val="both"/>
    </w:pPr>
    <w:rPr>
      <w:kern w:val="2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F527E6"/>
    <w:rPr>
      <w:rFonts w:ascii="Cambria" w:eastAsia="宋体" w:hAnsi="Cambria" w:cs="宋体"/>
      <w:b/>
      <w:bCs/>
      <w:sz w:val="32"/>
      <w:szCs w:val="32"/>
    </w:rPr>
  </w:style>
  <w:style w:type="character" w:customStyle="1" w:styleId="Char0">
    <w:name w:val="批注文字 Char"/>
    <w:basedOn w:val="a0"/>
    <w:link w:val="a4"/>
    <w:uiPriority w:val="99"/>
    <w:rsid w:val="00F527E6"/>
  </w:style>
  <w:style w:type="character" w:customStyle="1" w:styleId="Char">
    <w:name w:val="批注主题 Char"/>
    <w:basedOn w:val="Char0"/>
    <w:link w:val="a3"/>
    <w:uiPriority w:val="99"/>
    <w:qFormat/>
    <w:rsid w:val="00F527E6"/>
    <w:rPr>
      <w:b/>
      <w:bCs/>
    </w:rPr>
  </w:style>
  <w:style w:type="character" w:customStyle="1" w:styleId="apple-converted-space">
    <w:name w:val="apple-converted-space"/>
    <w:basedOn w:val="a0"/>
    <w:rsid w:val="00F527E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3EB82C-2D89-4AFD-B158-2DA06CBA1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413</Words>
  <Characters>2356</Characters>
  <Application>Microsoft Office Word</Application>
  <DocSecurity>0</DocSecurity>
  <Lines>19</Lines>
  <Paragraphs>5</Paragraphs>
  <ScaleCrop>false</ScaleCrop>
  <Company>China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赖</dc:creator>
  <cp:lastModifiedBy>User</cp:lastModifiedBy>
  <cp:revision>6</cp:revision>
  <cp:lastPrinted>2018-07-10T07:32:00Z</cp:lastPrinted>
  <dcterms:created xsi:type="dcterms:W3CDTF">2018-06-22T11:26:00Z</dcterms:created>
  <dcterms:modified xsi:type="dcterms:W3CDTF">2018-12-26T03:38:00Z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